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BA08" w14:textId="77777777" w:rsidR="0003628B" w:rsidRDefault="0003628B" w:rsidP="0003628B">
      <w:pPr>
        <w:jc w:val="center"/>
        <w:rPr>
          <w:b/>
          <w:bCs/>
        </w:rPr>
      </w:pPr>
    </w:p>
    <w:p w14:paraId="10DD6BC1" w14:textId="31703541" w:rsidR="000F2648" w:rsidRPr="0003628B" w:rsidRDefault="00F11948" w:rsidP="0003628B">
      <w:pPr>
        <w:jc w:val="center"/>
        <w:rPr>
          <w:b/>
          <w:bCs/>
          <w:lang w:val="fr-FR"/>
        </w:rPr>
      </w:pPr>
      <w:r w:rsidRPr="000F2648">
        <w:rPr>
          <w:b/>
          <w:bCs/>
        </w:rPr>
        <w:t xml:space="preserve">Pārskats par  Līguma ietvaros izstrādātā IS profesionālo kompetenču etalonmodeļa </w:t>
      </w:r>
      <w:r w:rsidR="000F2648" w:rsidRPr="000F2648">
        <w:rPr>
          <w:b/>
          <w:bCs/>
        </w:rPr>
        <w:t>atbilstību</w:t>
      </w:r>
      <w:r w:rsidRPr="000F2648">
        <w:rPr>
          <w:b/>
          <w:bCs/>
        </w:rPr>
        <w:t xml:space="preserve"> EK izstrādātajam kompetenču ietvaram </w:t>
      </w:r>
      <w:proofErr w:type="spellStart"/>
      <w:r w:rsidR="000F2648" w:rsidRPr="000F2648">
        <w:rPr>
          <w:b/>
          <w:bCs/>
          <w:lang w:val="fr-FR"/>
        </w:rPr>
        <w:t>ProcurCompEU</w:t>
      </w:r>
      <w:proofErr w:type="spellEnd"/>
      <w:r w:rsidR="000F2648" w:rsidRPr="000F2648">
        <w:rPr>
          <w:b/>
          <w:bCs/>
          <w:lang w:val="fr-FR"/>
        </w:rPr>
        <w:t>.</w:t>
      </w:r>
    </w:p>
    <w:p w14:paraId="5F0840E2" w14:textId="78F2345D" w:rsidR="0003628B" w:rsidRDefault="000F2648" w:rsidP="000F2648">
      <w:pPr>
        <w:jc w:val="both"/>
      </w:pPr>
      <w:r w:rsidRPr="000F2648">
        <w:t>Šis pārskats veidots ar mērķi salīdzināt Līguma ietvaros izstrādāto IS profesionālo kompetenču etalonmodeli, ko paredzēts izmantot Latvijas valsts pārvaldē iepirkumu jomā nodarbināto profesionālo kompetenču novērtēšanai</w:t>
      </w:r>
      <w:r>
        <w:t>,</w:t>
      </w:r>
      <w:r w:rsidRPr="000F2648">
        <w:t xml:space="preserve"> ar EK izstrādāto kompetenču ietvaru </w:t>
      </w:r>
      <w:proofErr w:type="spellStart"/>
      <w:r w:rsidRPr="000F2648">
        <w:t>ProcurCompEU</w:t>
      </w:r>
      <w:proofErr w:type="spellEnd"/>
      <w:r w:rsidRPr="000F2648">
        <w:t>, kam ir rekomendējošs raksturs izmantošanai Eiropas Savienības dalībvalstīs. Tām iestādēm, kas savu iepirkumu speciālistu vērtēšanai vēlas noteikt papildu rīcības pazīmes ārpus IS profesionālo kompetenču etalonmodelī izstrādātajām, var izmantot zemāk apkopoto informāciju par to, k</w:t>
      </w:r>
      <w:r>
        <w:t>ādas kompetences EK izstrādātajā modelī ir atbilstošas IS etalonmodelī aprakstītajām un līdz ar to kuru kompetenču pazīmes var tikt izmantotas vērtējamo rīcības pazīmju saraksta paplašināšanai.</w:t>
      </w:r>
    </w:p>
    <w:tbl>
      <w:tblPr>
        <w:tblStyle w:val="TableGrid"/>
        <w:tblpPr w:leftFromText="181" w:rightFromText="181" w:vertAnchor="text" w:horzAnchor="margin" w:tblpY="1"/>
        <w:tblOverlap w:val="never"/>
        <w:tblW w:w="9067" w:type="dxa"/>
        <w:tblLook w:val="04A0" w:firstRow="1" w:lastRow="0" w:firstColumn="1" w:lastColumn="0" w:noHBand="0" w:noVBand="1"/>
      </w:tblPr>
      <w:tblGrid>
        <w:gridCol w:w="3964"/>
        <w:gridCol w:w="5103"/>
      </w:tblGrid>
      <w:tr w:rsidR="00074641" w:rsidRPr="00DB663E" w14:paraId="4BE9DC4D" w14:textId="77777777" w:rsidTr="0003628B">
        <w:trPr>
          <w:trHeight w:val="559"/>
          <w:tblHeader/>
        </w:trPr>
        <w:tc>
          <w:tcPr>
            <w:tcW w:w="3964" w:type="dxa"/>
            <w:shd w:val="clear" w:color="auto" w:fill="FFC000"/>
          </w:tcPr>
          <w:p w14:paraId="7C08C4D8" w14:textId="77777777" w:rsidR="00074641" w:rsidRPr="0003628B" w:rsidRDefault="00074641" w:rsidP="0003628B">
            <w:pPr>
              <w:rPr>
                <w:b/>
                <w:bCs/>
              </w:rPr>
            </w:pPr>
            <w:r w:rsidRPr="0003628B">
              <w:rPr>
                <w:b/>
                <w:bCs/>
              </w:rPr>
              <w:t>Kompetence izstrādātajā IS etalonmodelī</w:t>
            </w:r>
          </w:p>
        </w:tc>
        <w:tc>
          <w:tcPr>
            <w:tcW w:w="5103" w:type="dxa"/>
            <w:shd w:val="clear" w:color="auto" w:fill="FFC000"/>
          </w:tcPr>
          <w:p w14:paraId="7774839C" w14:textId="77777777" w:rsidR="00074641" w:rsidRPr="0003628B" w:rsidRDefault="00074641" w:rsidP="0003628B">
            <w:pPr>
              <w:rPr>
                <w:b/>
                <w:bCs/>
              </w:rPr>
            </w:pPr>
            <w:r w:rsidRPr="0003628B">
              <w:rPr>
                <w:b/>
                <w:bCs/>
              </w:rPr>
              <w:t xml:space="preserve">Atbilstošās kompetences </w:t>
            </w:r>
            <w:proofErr w:type="spellStart"/>
            <w:r w:rsidRPr="0003628B">
              <w:rPr>
                <w:b/>
                <w:bCs/>
              </w:rPr>
              <w:t>ProcurCompEU</w:t>
            </w:r>
            <w:proofErr w:type="spellEnd"/>
          </w:p>
        </w:tc>
      </w:tr>
      <w:tr w:rsidR="00074641" w:rsidRPr="00DB663E" w14:paraId="44E2790D" w14:textId="77777777" w:rsidTr="0003628B">
        <w:trPr>
          <w:trHeight w:val="1109"/>
        </w:trPr>
        <w:tc>
          <w:tcPr>
            <w:tcW w:w="3964" w:type="dxa"/>
          </w:tcPr>
          <w:p w14:paraId="65B54DB6" w14:textId="77777777" w:rsidR="00074641" w:rsidRPr="00DB663E" w:rsidRDefault="00074641" w:rsidP="0003628B">
            <w:r w:rsidRPr="00DB663E">
              <w:t>Iepirkumu normatīvais regulējums (normatīvi, iestādes, procedūru veidi, sodi, IT rīki)</w:t>
            </w:r>
          </w:p>
          <w:p w14:paraId="777333DA" w14:textId="77777777" w:rsidR="00074641" w:rsidRPr="00DB663E" w:rsidRDefault="00074641" w:rsidP="0003628B">
            <w:pPr>
              <w:pStyle w:val="ListParagraph"/>
              <w:ind w:left="0"/>
            </w:pPr>
          </w:p>
        </w:tc>
        <w:tc>
          <w:tcPr>
            <w:tcW w:w="5103" w:type="dxa"/>
            <w:hideMark/>
          </w:tcPr>
          <w:p w14:paraId="19993240" w14:textId="77A8EE49" w:rsidR="00074641" w:rsidRPr="00DB663E" w:rsidRDefault="00074641" w:rsidP="0003628B">
            <w:pPr>
              <w:pStyle w:val="ListParagraph"/>
              <w:ind w:left="130"/>
            </w:pPr>
            <w:r w:rsidRPr="00DB663E">
              <w:t>3.</w:t>
            </w:r>
            <w:r w:rsidR="00DB663E">
              <w:t xml:space="preserve"> </w:t>
            </w:r>
            <w:r w:rsidRPr="00DB663E">
              <w:t>Tiesību akti</w:t>
            </w:r>
            <w:r w:rsidRPr="00DB663E">
              <w:br/>
              <w:t>4. E-iepirkums un IT rīki</w:t>
            </w:r>
            <w:r w:rsidRPr="00DB663E">
              <w:br/>
              <w:t>12. Iepirkuma stratēģija</w:t>
            </w:r>
          </w:p>
          <w:p w14:paraId="25298510" w14:textId="77777777" w:rsidR="00074641" w:rsidRPr="00DB663E" w:rsidRDefault="00074641" w:rsidP="0003628B">
            <w:pPr>
              <w:pStyle w:val="ListParagraph"/>
              <w:ind w:left="130"/>
            </w:pPr>
            <w:r w:rsidRPr="00DB663E">
              <w:t>27. Organizatoriskā izpratne</w:t>
            </w:r>
          </w:p>
        </w:tc>
      </w:tr>
      <w:tr w:rsidR="00074641" w:rsidRPr="00DB663E" w14:paraId="619B4D06" w14:textId="77777777" w:rsidTr="0003628B">
        <w:trPr>
          <w:trHeight w:val="1109"/>
        </w:trPr>
        <w:tc>
          <w:tcPr>
            <w:tcW w:w="3964" w:type="dxa"/>
          </w:tcPr>
          <w:p w14:paraId="1C069333" w14:textId="77777777" w:rsidR="00074641" w:rsidRPr="00DB663E" w:rsidRDefault="00074641" w:rsidP="0003628B">
            <w:r w:rsidRPr="00DB663E">
              <w:t>Iepirkuma dokumentācijas sagatavošana (nolikums, TS, prasību noteikšana, protokoli)</w:t>
            </w:r>
          </w:p>
          <w:p w14:paraId="43B567FA" w14:textId="77777777" w:rsidR="00074641" w:rsidRPr="00DB663E" w:rsidRDefault="00074641" w:rsidP="0003628B"/>
        </w:tc>
        <w:tc>
          <w:tcPr>
            <w:tcW w:w="5103" w:type="dxa"/>
          </w:tcPr>
          <w:p w14:paraId="2B4B8821" w14:textId="25CA235D" w:rsidR="00074641" w:rsidRPr="00DB663E" w:rsidRDefault="00074641" w:rsidP="0003628B">
            <w:pPr>
              <w:ind w:left="130"/>
            </w:pPr>
            <w:r w:rsidRPr="00DB663E">
              <w:t>5. Ilgtspējīgs iepirkums</w:t>
            </w:r>
          </w:p>
          <w:p w14:paraId="0BB22E10" w14:textId="77777777" w:rsidR="00074641" w:rsidRPr="00DB663E" w:rsidRDefault="00074641" w:rsidP="0003628B">
            <w:pPr>
              <w:ind w:left="130"/>
            </w:pPr>
            <w:r w:rsidRPr="00DB663E">
              <w:t>6. Inovatīvu risinājumu publiskais iepirkums</w:t>
            </w:r>
          </w:p>
          <w:p w14:paraId="4D9DC7A5" w14:textId="103A87B5" w:rsidR="00074641" w:rsidRPr="00DB663E" w:rsidRDefault="00074641" w:rsidP="0003628B">
            <w:pPr>
              <w:ind w:left="130"/>
            </w:pPr>
            <w:r w:rsidRPr="00DB663E">
              <w:t>7. Kategorijai specifiskā zinātīb</w:t>
            </w:r>
            <w:r w:rsidR="00DB663E">
              <w:t>a</w:t>
            </w:r>
          </w:p>
          <w:p w14:paraId="3900E8BF" w14:textId="4130BE83" w:rsidR="00074641" w:rsidRDefault="00074641" w:rsidP="0003628B">
            <w:pPr>
              <w:ind w:left="130"/>
            </w:pPr>
            <w:r w:rsidRPr="00DB663E">
              <w:t>13.Tehniskās specifikācijas</w:t>
            </w:r>
            <w:r w:rsidRPr="00DB663E">
              <w:br/>
              <w:t>14. Iepirkuma dokumentācija</w:t>
            </w:r>
          </w:p>
          <w:p w14:paraId="06097405" w14:textId="705F39D5" w:rsidR="00DB663E" w:rsidRPr="00DB663E" w:rsidRDefault="00DB663E" w:rsidP="0003628B">
            <w:pPr>
              <w:ind w:left="130"/>
            </w:pPr>
            <w:r>
              <w:t>21. Analītiskā un kritiskā domāšana</w:t>
            </w:r>
          </w:p>
          <w:p w14:paraId="2162AD33" w14:textId="56BB80A0" w:rsidR="00074641" w:rsidRPr="00DB663E" w:rsidRDefault="00074641" w:rsidP="0003628B">
            <w:pPr>
              <w:ind w:left="130"/>
            </w:pPr>
            <w:r w:rsidRPr="00DB663E">
              <w:t>22. Saziņa</w:t>
            </w:r>
          </w:p>
        </w:tc>
      </w:tr>
      <w:tr w:rsidR="00074641" w:rsidRPr="00DB663E" w14:paraId="52D2957E" w14:textId="77777777" w:rsidTr="0003628B">
        <w:trPr>
          <w:trHeight w:val="1109"/>
        </w:trPr>
        <w:tc>
          <w:tcPr>
            <w:tcW w:w="3964" w:type="dxa"/>
          </w:tcPr>
          <w:p w14:paraId="506E3852" w14:textId="77777777" w:rsidR="00074641" w:rsidRPr="00DB663E" w:rsidRDefault="00074641" w:rsidP="0003628B">
            <w:r w:rsidRPr="00DB663E">
              <w:t>Iepirkuma kā projekta vadība (process, iesaistītās puses, iepirkuma riski, tirgus izpēte, sadarbība ar piegādātajiem, līguma vadība, iepirkuma rezultātu novērtēšana)</w:t>
            </w:r>
          </w:p>
          <w:p w14:paraId="78900B7B" w14:textId="77777777" w:rsidR="00074641" w:rsidRPr="00DB663E" w:rsidRDefault="00074641" w:rsidP="0003628B"/>
        </w:tc>
        <w:tc>
          <w:tcPr>
            <w:tcW w:w="5103" w:type="dxa"/>
          </w:tcPr>
          <w:p w14:paraId="5B0CF15B" w14:textId="77777777" w:rsidR="00074641" w:rsidRPr="00DB663E" w:rsidRDefault="00074641" w:rsidP="0003628B">
            <w:pPr>
              <w:ind w:firstLine="130"/>
            </w:pPr>
            <w:r w:rsidRPr="00DB663E">
              <w:t>1. Plānošana</w:t>
            </w:r>
          </w:p>
          <w:p w14:paraId="1A94204E" w14:textId="77777777" w:rsidR="00074641" w:rsidRPr="00DB663E" w:rsidRDefault="00074641" w:rsidP="0003628B">
            <w:pPr>
              <w:ind w:firstLine="130"/>
            </w:pPr>
            <w:r w:rsidRPr="00DB663E">
              <w:t>2. Iepirkuma cikls</w:t>
            </w:r>
          </w:p>
          <w:p w14:paraId="6AC6FF44" w14:textId="77777777" w:rsidR="00074641" w:rsidRPr="00DB663E" w:rsidRDefault="00074641" w:rsidP="0003628B">
            <w:pPr>
              <w:ind w:firstLine="130"/>
            </w:pPr>
            <w:r w:rsidRPr="00DB663E">
              <w:t>7. Kategorijai specifiskā</w:t>
            </w:r>
          </w:p>
          <w:p w14:paraId="3FA8078F" w14:textId="3F82E530" w:rsidR="00074641" w:rsidRPr="00DB663E" w:rsidRDefault="00074641" w:rsidP="0003628B">
            <w:pPr>
              <w:ind w:firstLine="130"/>
            </w:pPr>
            <w:r w:rsidRPr="00DB663E">
              <w:t>8. Piegādātāju pārvaldība</w:t>
            </w:r>
          </w:p>
          <w:p w14:paraId="2C36CDC5" w14:textId="77777777" w:rsidR="00074641" w:rsidRPr="00DB663E" w:rsidRDefault="00074641" w:rsidP="0003628B">
            <w:pPr>
              <w:ind w:firstLine="130"/>
            </w:pPr>
            <w:r w:rsidRPr="00DB663E">
              <w:t>9. Sarunas</w:t>
            </w:r>
          </w:p>
          <w:p w14:paraId="4D80C9B8" w14:textId="441513E4" w:rsidR="00074641" w:rsidRPr="00DB663E" w:rsidRDefault="00074641" w:rsidP="0003628B">
            <w:pPr>
              <w:ind w:firstLine="130"/>
            </w:pPr>
            <w:r w:rsidRPr="00DB663E">
              <w:t>10. Vajadzību noteikšana</w:t>
            </w:r>
            <w:r w:rsidRPr="00DB663E">
              <w:br/>
              <w:t xml:space="preserve">   11.Tirgus analīze un dialogs ar tirgus dalībniekiem</w:t>
            </w:r>
            <w:r w:rsidRPr="00DB663E">
              <w:br/>
              <w:t xml:space="preserve">  12.</w:t>
            </w:r>
            <w:r w:rsidR="00DB663E">
              <w:t xml:space="preserve"> </w:t>
            </w:r>
            <w:r w:rsidRPr="00DB663E">
              <w:t>Iepirkuma stratēģija</w:t>
            </w:r>
            <w:r w:rsidRPr="00DB663E">
              <w:br/>
              <w:t xml:space="preserve">  16.</w:t>
            </w:r>
            <w:r w:rsidR="00DB663E">
              <w:t xml:space="preserve"> </w:t>
            </w:r>
            <w:r w:rsidRPr="00DB663E">
              <w:t>Līgumu pārvaldība</w:t>
            </w:r>
            <w:r w:rsidRPr="00DB663E">
              <w:br/>
              <w:t xml:space="preserve">  17.</w:t>
            </w:r>
            <w:r w:rsidR="00DB663E">
              <w:t xml:space="preserve"> </w:t>
            </w:r>
            <w:r w:rsidRPr="00DB663E">
              <w:t>Apstiprināšana un maksājumu veikšana</w:t>
            </w:r>
            <w:r w:rsidRPr="00DB663E">
              <w:br/>
              <w:t xml:space="preserve">  18.</w:t>
            </w:r>
            <w:r w:rsidR="00DB663E">
              <w:t xml:space="preserve"> </w:t>
            </w:r>
            <w:r w:rsidRPr="00DB663E">
              <w:t>Ziņošana un novērtēšana</w:t>
            </w:r>
          </w:p>
          <w:p w14:paraId="60C778CD" w14:textId="77777777" w:rsidR="00074641" w:rsidRPr="00DB663E" w:rsidRDefault="00074641" w:rsidP="0003628B">
            <w:pPr>
              <w:ind w:firstLine="130"/>
            </w:pPr>
            <w:r w:rsidRPr="00DB663E">
              <w:t>21. Analītiskā un kritiskā domāšana</w:t>
            </w:r>
          </w:p>
          <w:p w14:paraId="491557B5" w14:textId="6F520893" w:rsidR="00074641" w:rsidRPr="00DB663E" w:rsidRDefault="00074641" w:rsidP="0003628B">
            <w:pPr>
              <w:ind w:firstLine="130"/>
            </w:pPr>
            <w:r w:rsidRPr="00DB663E">
              <w:t>22. Saziņa</w:t>
            </w:r>
            <w:r w:rsidRPr="00DB663E">
              <w:br/>
              <w:t xml:space="preserve">  28.</w:t>
            </w:r>
            <w:r w:rsidR="00DB663E">
              <w:t xml:space="preserve"> </w:t>
            </w:r>
            <w:r w:rsidRPr="00DB663E">
              <w:t>Projekta vadība</w:t>
            </w:r>
            <w:r w:rsidRPr="00DB663E">
              <w:br/>
              <w:t xml:space="preserve">  29.</w:t>
            </w:r>
            <w:r w:rsidR="00DB663E">
              <w:t xml:space="preserve"> </w:t>
            </w:r>
            <w:r w:rsidRPr="00DB663E">
              <w:t>Orientācija uz rezultātu</w:t>
            </w:r>
            <w:r w:rsidRPr="00DB663E">
              <w:br/>
              <w:t xml:space="preserve">  30.</w:t>
            </w:r>
            <w:r w:rsidR="00DB663E">
              <w:t xml:space="preserve"> </w:t>
            </w:r>
            <w:r w:rsidRPr="00DB663E">
              <w:t>Riska vadība un iekšējā kontrole</w:t>
            </w:r>
          </w:p>
        </w:tc>
      </w:tr>
      <w:tr w:rsidR="00255F7F" w:rsidRPr="00DB663E" w14:paraId="13CF6D86" w14:textId="77777777" w:rsidTr="0003628B">
        <w:trPr>
          <w:trHeight w:val="699"/>
        </w:trPr>
        <w:tc>
          <w:tcPr>
            <w:tcW w:w="3964" w:type="dxa"/>
          </w:tcPr>
          <w:p w14:paraId="48ACE6AB" w14:textId="77777777" w:rsidR="00255F7F" w:rsidRPr="00DB663E" w:rsidRDefault="00255F7F" w:rsidP="0003628B">
            <w:r w:rsidRPr="00DB663E">
              <w:t>Komandas vadība un sadarbība (komisija, komunikācija ar citām iesaistītajām pusēm)</w:t>
            </w:r>
          </w:p>
          <w:p w14:paraId="1717D9CD" w14:textId="77777777" w:rsidR="00255F7F" w:rsidRPr="00DB663E" w:rsidRDefault="00255F7F" w:rsidP="0003628B"/>
        </w:tc>
        <w:tc>
          <w:tcPr>
            <w:tcW w:w="5103" w:type="dxa"/>
          </w:tcPr>
          <w:p w14:paraId="325D19A7" w14:textId="60CB2931" w:rsidR="00255F7F" w:rsidRDefault="00255F7F" w:rsidP="0003628B">
            <w:pPr>
              <w:ind w:left="130"/>
            </w:pPr>
            <w:r w:rsidRPr="00DB663E">
              <w:t>19. Konfliktu risināšana un mediācija</w:t>
            </w:r>
          </w:p>
          <w:p w14:paraId="6CF82E9D" w14:textId="1E767344" w:rsidR="00DB663E" w:rsidRPr="00DB663E" w:rsidRDefault="00DB663E" w:rsidP="0003628B">
            <w:pPr>
              <w:ind w:left="130"/>
            </w:pPr>
            <w:r>
              <w:t>21. Analītiskā un kritiskā domāšana</w:t>
            </w:r>
          </w:p>
          <w:p w14:paraId="38ADF8F4" w14:textId="77777777" w:rsidR="00255F7F" w:rsidRPr="00DB663E" w:rsidRDefault="00255F7F" w:rsidP="0003628B">
            <w:pPr>
              <w:ind w:left="130"/>
            </w:pPr>
            <w:r w:rsidRPr="00DB663E">
              <w:t>22. Saziņa</w:t>
            </w:r>
          </w:p>
          <w:p w14:paraId="090B5BDA" w14:textId="4F57C2E3" w:rsidR="00255F7F" w:rsidRPr="00DB663E" w:rsidRDefault="00255F7F" w:rsidP="0003628B">
            <w:pPr>
              <w:ind w:left="130"/>
            </w:pPr>
            <w:r w:rsidRPr="00DB663E">
              <w:t>24.</w:t>
            </w:r>
            <w:r w:rsidR="00DB663E">
              <w:t xml:space="preserve"> </w:t>
            </w:r>
            <w:r w:rsidRPr="00DB663E">
              <w:t>Sadarbība</w:t>
            </w:r>
            <w:r w:rsidRPr="00DB663E">
              <w:br/>
              <w:t>25.</w:t>
            </w:r>
            <w:r w:rsidR="00DB663E">
              <w:t xml:space="preserve"> </w:t>
            </w:r>
            <w:r w:rsidRPr="00DB663E">
              <w:t xml:space="preserve">Attiecību ar ieinteresētajām personām </w:t>
            </w:r>
            <w:r w:rsidRPr="00DB663E">
              <w:lastRenderedPageBreak/>
              <w:t>pārvaldība</w:t>
            </w:r>
            <w:r w:rsidRPr="00DB663E">
              <w:br/>
              <w:t>26.</w:t>
            </w:r>
            <w:r w:rsidR="00DB663E">
              <w:t xml:space="preserve"> </w:t>
            </w:r>
            <w:r w:rsidRPr="00DB663E">
              <w:t>Komandas vadība un līderība</w:t>
            </w:r>
          </w:p>
        </w:tc>
      </w:tr>
      <w:tr w:rsidR="00255F7F" w:rsidRPr="00DB663E" w14:paraId="24AF8CEA" w14:textId="77777777" w:rsidTr="0003628B">
        <w:trPr>
          <w:trHeight w:val="1109"/>
        </w:trPr>
        <w:tc>
          <w:tcPr>
            <w:tcW w:w="3964" w:type="dxa"/>
          </w:tcPr>
          <w:p w14:paraId="59AB3F0A" w14:textId="77777777" w:rsidR="00255F7F" w:rsidRPr="00DB663E" w:rsidRDefault="00255F7F" w:rsidP="0003628B">
            <w:r w:rsidRPr="00DB663E">
              <w:lastRenderedPageBreak/>
              <w:t>Atbildības uzņemšanās un lēmumu pieņemšana (ar faktiem pamatoti lēmumi, neatkarīgums, spēja pamatot pieņemto lēmumu)</w:t>
            </w:r>
          </w:p>
          <w:p w14:paraId="3EC9819C" w14:textId="77777777" w:rsidR="00255F7F" w:rsidRPr="00DB663E" w:rsidRDefault="00255F7F" w:rsidP="0003628B"/>
        </w:tc>
        <w:tc>
          <w:tcPr>
            <w:tcW w:w="5103" w:type="dxa"/>
          </w:tcPr>
          <w:p w14:paraId="6FDC0846" w14:textId="44599C82" w:rsidR="00255F7F" w:rsidRPr="00DB663E" w:rsidRDefault="00255F7F" w:rsidP="0003628B">
            <w:pPr>
              <w:pStyle w:val="ListParagraph"/>
              <w:ind w:left="130"/>
            </w:pPr>
            <w:r w:rsidRPr="00DB663E">
              <w:t>15.</w:t>
            </w:r>
            <w:r w:rsidR="00DB663E">
              <w:t xml:space="preserve"> </w:t>
            </w:r>
            <w:r w:rsidRPr="00DB663E">
              <w:t>Piedāvājumu vērtēšana</w:t>
            </w:r>
            <w:r w:rsidRPr="00DB663E">
              <w:br/>
              <w:t>19.</w:t>
            </w:r>
            <w:r w:rsidR="00DB663E">
              <w:t xml:space="preserve"> </w:t>
            </w:r>
            <w:r w:rsidRPr="00DB663E">
              <w:t>Konfliktu risināšana un mediācija</w:t>
            </w:r>
          </w:p>
          <w:p w14:paraId="6736488F" w14:textId="77777777" w:rsidR="00255F7F" w:rsidRPr="00DB663E" w:rsidRDefault="00255F7F" w:rsidP="0003628B">
            <w:pPr>
              <w:pStyle w:val="ListParagraph"/>
              <w:ind w:left="130"/>
            </w:pPr>
            <w:r w:rsidRPr="00DB663E">
              <w:t>20. Spēja pielāgoties un modernizācija</w:t>
            </w:r>
          </w:p>
          <w:p w14:paraId="537E05C1" w14:textId="2E88F1DE" w:rsidR="00255F7F" w:rsidRPr="00DB663E" w:rsidRDefault="00255F7F" w:rsidP="0003628B">
            <w:pPr>
              <w:ind w:left="130"/>
            </w:pPr>
            <w:r w:rsidRPr="00DB663E">
              <w:t>21.</w:t>
            </w:r>
            <w:r w:rsidR="00DB663E">
              <w:t xml:space="preserve"> </w:t>
            </w:r>
            <w:r w:rsidRPr="00DB663E">
              <w:t>Analītiskā un kritiskā domāšana</w:t>
            </w:r>
          </w:p>
        </w:tc>
      </w:tr>
      <w:tr w:rsidR="00255F7F" w:rsidRPr="00DB663E" w14:paraId="6B655C08" w14:textId="77777777" w:rsidTr="0003628B">
        <w:trPr>
          <w:trHeight w:val="1109"/>
        </w:trPr>
        <w:tc>
          <w:tcPr>
            <w:tcW w:w="3964" w:type="dxa"/>
          </w:tcPr>
          <w:p w14:paraId="63D1F717" w14:textId="77777777" w:rsidR="00255F7F" w:rsidRPr="00DB663E" w:rsidRDefault="00255F7F" w:rsidP="0003628B">
            <w:r w:rsidRPr="00DB663E">
              <w:t>Iestādes Iepirkumu vadība (stratēģiskie mērķi, iepirkumu plāns, tendences regulārajos iepirkumos, centralizētie iepirkumi, iekšējais iestādes normatīvais regulējums)</w:t>
            </w:r>
          </w:p>
          <w:p w14:paraId="55CEDFE3" w14:textId="77777777" w:rsidR="00255F7F" w:rsidRPr="00DB663E" w:rsidRDefault="00255F7F" w:rsidP="0003628B"/>
        </w:tc>
        <w:tc>
          <w:tcPr>
            <w:tcW w:w="5103" w:type="dxa"/>
          </w:tcPr>
          <w:p w14:paraId="2A8B2B65" w14:textId="30B518E6" w:rsidR="00255F7F" w:rsidRPr="00DB663E" w:rsidRDefault="00255F7F" w:rsidP="0003628B">
            <w:pPr>
              <w:ind w:left="272"/>
            </w:pPr>
            <w:r w:rsidRPr="00DB663E">
              <w:t>1.</w:t>
            </w:r>
            <w:r w:rsidR="00DB663E">
              <w:t xml:space="preserve"> </w:t>
            </w:r>
            <w:r w:rsidRPr="00DB663E">
              <w:t>Plānošana</w:t>
            </w:r>
          </w:p>
          <w:p w14:paraId="380C7FA8" w14:textId="77777777" w:rsidR="00255F7F" w:rsidRPr="00DB663E" w:rsidRDefault="00255F7F" w:rsidP="0003628B">
            <w:pPr>
              <w:ind w:left="272"/>
            </w:pPr>
            <w:r w:rsidRPr="00DB663E">
              <w:t>4. E-iepirkums un citi IT rīki</w:t>
            </w:r>
          </w:p>
          <w:p w14:paraId="528A3230" w14:textId="190D5CFD" w:rsidR="00255F7F" w:rsidRPr="00DB663E" w:rsidRDefault="00255F7F" w:rsidP="0003628B">
            <w:pPr>
              <w:ind w:left="272"/>
            </w:pPr>
            <w:r w:rsidRPr="00DB663E">
              <w:t>5.</w:t>
            </w:r>
            <w:r w:rsidR="00DB663E">
              <w:t xml:space="preserve"> </w:t>
            </w:r>
            <w:r w:rsidRPr="00DB663E">
              <w:t>Ilgtspējīgs iepirkums</w:t>
            </w:r>
            <w:r w:rsidRPr="00DB663E">
              <w:br/>
              <w:t>6.Inovatīvs iepirkums</w:t>
            </w:r>
            <w:r w:rsidRPr="00DB663E">
              <w:br/>
              <w:t>7.Kategorijai specifiskā zinātība</w:t>
            </w:r>
          </w:p>
          <w:p w14:paraId="1AB43355" w14:textId="77777777" w:rsidR="00255F7F" w:rsidRPr="00DB663E" w:rsidRDefault="00255F7F" w:rsidP="0003628B">
            <w:pPr>
              <w:ind w:left="272"/>
            </w:pPr>
            <w:r w:rsidRPr="00DB663E">
              <w:t>8. Piegādātāju pārvaldība</w:t>
            </w:r>
          </w:p>
          <w:p w14:paraId="0E21F9D5" w14:textId="77777777" w:rsidR="00255F7F" w:rsidRPr="00DB663E" w:rsidRDefault="00255F7F" w:rsidP="0003628B">
            <w:pPr>
              <w:ind w:left="272"/>
            </w:pPr>
            <w:r w:rsidRPr="00DB663E">
              <w:t>9. Sarunas</w:t>
            </w:r>
          </w:p>
          <w:p w14:paraId="487A0B76" w14:textId="31FEDA67" w:rsidR="00255F7F" w:rsidRPr="00DB663E" w:rsidRDefault="00255F7F" w:rsidP="0003628B">
            <w:pPr>
              <w:ind w:left="272"/>
            </w:pPr>
            <w:r w:rsidRPr="00DB663E">
              <w:t xml:space="preserve">10. </w:t>
            </w:r>
            <w:r w:rsidR="00DB663E">
              <w:t>V</w:t>
            </w:r>
            <w:r w:rsidRPr="00DB663E">
              <w:t>ajadzību noteikšana</w:t>
            </w:r>
          </w:p>
          <w:p w14:paraId="0D1698B8" w14:textId="275880CE" w:rsidR="00255F7F" w:rsidRPr="00DB663E" w:rsidRDefault="00255F7F" w:rsidP="0003628B">
            <w:pPr>
              <w:ind w:left="272"/>
            </w:pPr>
            <w:r w:rsidRPr="00DB663E">
              <w:t>11. Tirgus analīze un dialogs ar tirgus dalībniekiem</w:t>
            </w:r>
            <w:r w:rsidRPr="00DB663E">
              <w:br/>
              <w:t>12.</w:t>
            </w:r>
            <w:r w:rsidR="00DB663E">
              <w:t xml:space="preserve"> </w:t>
            </w:r>
            <w:r w:rsidRPr="00DB663E">
              <w:t xml:space="preserve">Iepirkuma stratēģija </w:t>
            </w:r>
          </w:p>
          <w:p w14:paraId="36ED7F12" w14:textId="77777777" w:rsidR="00255F7F" w:rsidRPr="00DB663E" w:rsidRDefault="00255F7F" w:rsidP="0003628B">
            <w:pPr>
              <w:ind w:left="272"/>
            </w:pPr>
            <w:r w:rsidRPr="00DB663E">
              <w:t>16. Līgumu pārvaldība</w:t>
            </w:r>
          </w:p>
          <w:p w14:paraId="5030A02B" w14:textId="41925F22" w:rsidR="00255F7F" w:rsidRPr="00DB663E" w:rsidRDefault="00255F7F" w:rsidP="0003628B">
            <w:pPr>
              <w:ind w:left="272"/>
            </w:pPr>
            <w:r w:rsidRPr="00DB663E">
              <w:t>17. Apstiprināšana un maksājumu veikšana</w:t>
            </w:r>
            <w:r w:rsidRPr="00DB663E">
              <w:br/>
              <w:t>18.</w:t>
            </w:r>
            <w:r w:rsidR="00DB663E">
              <w:t xml:space="preserve"> </w:t>
            </w:r>
            <w:r w:rsidRPr="00DB663E">
              <w:t>Ziņošana un novērtēšana</w:t>
            </w:r>
          </w:p>
          <w:p w14:paraId="3C59EA22" w14:textId="77777777" w:rsidR="00255F7F" w:rsidRPr="00DB663E" w:rsidRDefault="00255F7F" w:rsidP="0003628B">
            <w:pPr>
              <w:ind w:left="272"/>
            </w:pPr>
            <w:r w:rsidRPr="00DB663E">
              <w:t>20. Spēja pielāgoties un modernizācija</w:t>
            </w:r>
          </w:p>
          <w:p w14:paraId="6077DC10" w14:textId="77777777" w:rsidR="00255F7F" w:rsidRPr="00DB663E" w:rsidRDefault="00255F7F" w:rsidP="0003628B">
            <w:pPr>
              <w:ind w:left="272"/>
            </w:pPr>
            <w:r w:rsidRPr="00DB663E">
              <w:t>25. Attiecību ar ieinteresētajām personām pārvaldība</w:t>
            </w:r>
          </w:p>
          <w:p w14:paraId="6AEFA543" w14:textId="5D05C639" w:rsidR="00255F7F" w:rsidRPr="00DB663E" w:rsidRDefault="00255F7F" w:rsidP="0003628B">
            <w:pPr>
              <w:ind w:left="272"/>
            </w:pPr>
            <w:r w:rsidRPr="00DB663E">
              <w:t>27. Organizatoriskā izpratne</w:t>
            </w:r>
            <w:r w:rsidRPr="00DB663E">
              <w:br/>
              <w:t>29. Orientācija uz rezultātu</w:t>
            </w:r>
            <w:r w:rsidRPr="00DB663E">
              <w:br/>
              <w:t>30.</w:t>
            </w:r>
            <w:r w:rsidR="00DB663E">
              <w:t xml:space="preserve"> </w:t>
            </w:r>
            <w:r w:rsidRPr="00DB663E">
              <w:t>Riska vadība un iekšējā kontrole</w:t>
            </w:r>
          </w:p>
          <w:p w14:paraId="7C6FE306" w14:textId="77777777" w:rsidR="00255F7F" w:rsidRPr="00DB663E" w:rsidRDefault="00255F7F" w:rsidP="0003628B">
            <w:pPr>
              <w:pStyle w:val="ListParagraph"/>
              <w:ind w:left="130"/>
            </w:pPr>
          </w:p>
        </w:tc>
      </w:tr>
      <w:tr w:rsidR="00255F7F" w:rsidRPr="00DB663E" w14:paraId="36B9CB59" w14:textId="77777777" w:rsidTr="0003628B">
        <w:trPr>
          <w:trHeight w:val="1109"/>
        </w:trPr>
        <w:tc>
          <w:tcPr>
            <w:tcW w:w="3964" w:type="dxa"/>
          </w:tcPr>
          <w:p w14:paraId="51C972CA" w14:textId="77777777" w:rsidR="00255F7F" w:rsidRPr="00DB663E" w:rsidRDefault="00255F7F" w:rsidP="0003628B">
            <w:r w:rsidRPr="00DB663E">
              <w:t>Ētiska rīcība un interešu konflikta vadība (korupcija, interešu konflikts, ētiska rīcība, konkurences ierobežojumi, PIL principi)</w:t>
            </w:r>
          </w:p>
          <w:p w14:paraId="636736C1" w14:textId="77777777" w:rsidR="00255F7F" w:rsidRPr="00DB663E" w:rsidRDefault="00255F7F" w:rsidP="0003628B"/>
        </w:tc>
        <w:tc>
          <w:tcPr>
            <w:tcW w:w="5103" w:type="dxa"/>
          </w:tcPr>
          <w:p w14:paraId="09AC6C0C" w14:textId="78A4956F" w:rsidR="00255F7F" w:rsidRPr="00DB663E" w:rsidRDefault="00255F7F" w:rsidP="0003628B">
            <w:pPr>
              <w:ind w:left="272"/>
            </w:pPr>
            <w:r w:rsidRPr="00DB663E">
              <w:t>23.</w:t>
            </w:r>
            <w:r w:rsidR="00DB663E">
              <w:t xml:space="preserve"> </w:t>
            </w:r>
            <w:r w:rsidRPr="00DB663E">
              <w:t>Ētika un atbilstība</w:t>
            </w:r>
            <w:r w:rsidRPr="00DB663E">
              <w:br/>
              <w:t>30.</w:t>
            </w:r>
            <w:r w:rsidR="00DB663E">
              <w:t xml:space="preserve"> </w:t>
            </w:r>
            <w:r w:rsidRPr="00DB663E">
              <w:t>Riska vadība un iekšējā kontrole</w:t>
            </w:r>
          </w:p>
        </w:tc>
      </w:tr>
    </w:tbl>
    <w:p w14:paraId="29C64A8D" w14:textId="77777777" w:rsidR="00F11948" w:rsidRDefault="00F11948" w:rsidP="001E6F73"/>
    <w:p w14:paraId="5921DEF3" w14:textId="77777777" w:rsidR="00F11948" w:rsidRPr="00F11948" w:rsidRDefault="00F11948" w:rsidP="001E6F73"/>
    <w:sectPr w:rsidR="00F11948" w:rsidRPr="00F11948" w:rsidSect="004976E1">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1796" w14:textId="77777777" w:rsidR="0011134A" w:rsidRDefault="0011134A" w:rsidP="0003628B">
      <w:pPr>
        <w:spacing w:after="0" w:line="240" w:lineRule="auto"/>
      </w:pPr>
      <w:r>
        <w:separator/>
      </w:r>
    </w:p>
  </w:endnote>
  <w:endnote w:type="continuationSeparator" w:id="0">
    <w:p w14:paraId="5C32502A" w14:textId="77777777" w:rsidR="0011134A" w:rsidRDefault="0011134A" w:rsidP="0003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5800298"/>
      <w:docPartObj>
        <w:docPartGallery w:val="Page Numbers (Bottom of Page)"/>
        <w:docPartUnique/>
      </w:docPartObj>
    </w:sdtPr>
    <w:sdtEndPr>
      <w:rPr>
        <w:rStyle w:val="PageNumber"/>
      </w:rPr>
    </w:sdtEndPr>
    <w:sdtContent>
      <w:p w14:paraId="07C4A562" w14:textId="677DEE57" w:rsidR="0003628B" w:rsidRDefault="0003628B" w:rsidP="00E049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1C826E" w14:textId="77777777" w:rsidR="0003628B" w:rsidRDefault="0003628B" w:rsidP="00036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9298799"/>
      <w:docPartObj>
        <w:docPartGallery w:val="Page Numbers (Bottom of Page)"/>
        <w:docPartUnique/>
      </w:docPartObj>
    </w:sdtPr>
    <w:sdtEndPr>
      <w:rPr>
        <w:rStyle w:val="PageNumber"/>
      </w:rPr>
    </w:sdtEndPr>
    <w:sdtContent>
      <w:p w14:paraId="35F9AB82" w14:textId="55A368A4" w:rsidR="0003628B" w:rsidRDefault="0003628B" w:rsidP="00E049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AFD135" w14:textId="77777777" w:rsidR="0003628B" w:rsidRDefault="0003628B" w:rsidP="000362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43E2" w14:textId="23844B50" w:rsidR="00F84689" w:rsidRDefault="00F84689">
    <w:pPr>
      <w:pStyle w:val="Footer"/>
    </w:pPr>
    <w:r>
      <w:rPr>
        <w:rFonts w:ascii="Times New Roman" w:hAnsi="Times New Roman" w:cs="Times New Roman"/>
        <w:b/>
        <w:noProof/>
        <w:sz w:val="52"/>
        <w:szCs w:val="110"/>
        <w:lang w:eastAsia="lv-LV"/>
      </w:rPr>
      <w:drawing>
        <wp:anchor distT="0" distB="0" distL="114300" distR="114300" simplePos="0" relativeHeight="251659264" behindDoc="0" locked="0" layoutInCell="1" allowOverlap="1" wp14:anchorId="2549F768" wp14:editId="295ACC99">
          <wp:simplePos x="0" y="0"/>
          <wp:positionH relativeFrom="margin">
            <wp:posOffset>955675</wp:posOffset>
          </wp:positionH>
          <wp:positionV relativeFrom="paragraph">
            <wp:posOffset>-182880</wp:posOffset>
          </wp:positionV>
          <wp:extent cx="3820562" cy="800963"/>
          <wp:effectExtent l="0" t="0" r="0" b="0"/>
          <wp:wrapTopAndBottom/>
          <wp:docPr id="3" name="Picture 3" descr="ESF vizuālo elementu ansamblis ar VAS logo (vidē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 vizuālo elementu ansamblis ar VAS logo (vidēj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0562" cy="8009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BDDE" w14:textId="77777777" w:rsidR="0011134A" w:rsidRDefault="0011134A" w:rsidP="0003628B">
      <w:pPr>
        <w:spacing w:after="0" w:line="240" w:lineRule="auto"/>
      </w:pPr>
      <w:r>
        <w:separator/>
      </w:r>
    </w:p>
  </w:footnote>
  <w:footnote w:type="continuationSeparator" w:id="0">
    <w:p w14:paraId="24D88D6C" w14:textId="77777777" w:rsidR="0011134A" w:rsidRDefault="0011134A" w:rsidP="00036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DF6" w14:textId="6475DEF9" w:rsidR="0003628B" w:rsidRDefault="0003628B" w:rsidP="0003628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42F" w14:textId="7826EF06" w:rsidR="004976E1" w:rsidRDefault="00F84689">
    <w:pPr>
      <w:pStyle w:val="Header"/>
    </w:pPr>
    <w:r>
      <w:rPr>
        <w:noProof/>
      </w:rPr>
      <w:drawing>
        <wp:anchor distT="0" distB="0" distL="114300" distR="114300" simplePos="0" relativeHeight="251660288" behindDoc="1" locked="0" layoutInCell="1" allowOverlap="1" wp14:anchorId="08ACB8C0" wp14:editId="7177900F">
          <wp:simplePos x="0" y="0"/>
          <wp:positionH relativeFrom="column">
            <wp:posOffset>1280160</wp:posOffset>
          </wp:positionH>
          <wp:positionV relativeFrom="paragraph">
            <wp:posOffset>-449580</wp:posOffset>
          </wp:positionV>
          <wp:extent cx="3171190" cy="1009015"/>
          <wp:effectExtent l="0" t="0" r="0" b="635"/>
          <wp:wrapTight wrapText="bothSides">
            <wp:wrapPolygon edited="0">
              <wp:start x="0" y="0"/>
              <wp:lineTo x="0" y="21206"/>
              <wp:lineTo x="21410" y="21206"/>
              <wp:lineTo x="21410" y="0"/>
              <wp:lineTo x="0" y="0"/>
            </wp:wrapPolygon>
          </wp:wrapTight>
          <wp:docPr id="1508790400" name="Picture 1"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90400" name="Picture 1" descr="A picture containing text, font, screensho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1190" cy="1009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30"/>
    <w:multiLevelType w:val="hybridMultilevel"/>
    <w:tmpl w:val="6D7E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5C5439"/>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0C1B01"/>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DC2CA3"/>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2059E5"/>
    <w:multiLevelType w:val="hybridMultilevel"/>
    <w:tmpl w:val="CAF011EC"/>
    <w:lvl w:ilvl="0" w:tplc="61C08B98">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D3254B5"/>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D757195"/>
    <w:multiLevelType w:val="hybridMultilevel"/>
    <w:tmpl w:val="4352F2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D126B3"/>
    <w:multiLevelType w:val="hybridMultilevel"/>
    <w:tmpl w:val="8D349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6B085D"/>
    <w:multiLevelType w:val="hybridMultilevel"/>
    <w:tmpl w:val="F02EB588"/>
    <w:lvl w:ilvl="0" w:tplc="27B47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2FB4EC5"/>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366925"/>
    <w:multiLevelType w:val="hybridMultilevel"/>
    <w:tmpl w:val="986E248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5F62D27"/>
    <w:multiLevelType w:val="hybridMultilevel"/>
    <w:tmpl w:val="533CAB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382017">
    <w:abstractNumId w:val="3"/>
  </w:num>
  <w:num w:numId="2" w16cid:durableId="1407074662">
    <w:abstractNumId w:val="0"/>
  </w:num>
  <w:num w:numId="3" w16cid:durableId="265579607">
    <w:abstractNumId w:val="1"/>
  </w:num>
  <w:num w:numId="4" w16cid:durableId="2080402328">
    <w:abstractNumId w:val="10"/>
  </w:num>
  <w:num w:numId="5" w16cid:durableId="2074035319">
    <w:abstractNumId w:val="6"/>
  </w:num>
  <w:num w:numId="6" w16cid:durableId="1472282358">
    <w:abstractNumId w:val="2"/>
  </w:num>
  <w:num w:numId="7" w16cid:durableId="2141531484">
    <w:abstractNumId w:val="9"/>
  </w:num>
  <w:num w:numId="8" w16cid:durableId="1753579250">
    <w:abstractNumId w:val="11"/>
  </w:num>
  <w:num w:numId="9" w16cid:durableId="2045136690">
    <w:abstractNumId w:val="5"/>
  </w:num>
  <w:num w:numId="10" w16cid:durableId="1776319282">
    <w:abstractNumId w:val="7"/>
  </w:num>
  <w:num w:numId="11" w16cid:durableId="1556501448">
    <w:abstractNumId w:val="8"/>
  </w:num>
  <w:num w:numId="12" w16cid:durableId="40595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B"/>
    <w:rsid w:val="0003628B"/>
    <w:rsid w:val="00074641"/>
    <w:rsid w:val="0007772B"/>
    <w:rsid w:val="000F2648"/>
    <w:rsid w:val="00101920"/>
    <w:rsid w:val="0011134A"/>
    <w:rsid w:val="00153D2F"/>
    <w:rsid w:val="00182AF8"/>
    <w:rsid w:val="001E6F73"/>
    <w:rsid w:val="00240E38"/>
    <w:rsid w:val="00255F7F"/>
    <w:rsid w:val="002A5218"/>
    <w:rsid w:val="002E1F38"/>
    <w:rsid w:val="003D0676"/>
    <w:rsid w:val="00421049"/>
    <w:rsid w:val="004976E1"/>
    <w:rsid w:val="004B4920"/>
    <w:rsid w:val="006B6F37"/>
    <w:rsid w:val="006D7E70"/>
    <w:rsid w:val="007A4352"/>
    <w:rsid w:val="00850828"/>
    <w:rsid w:val="008C103B"/>
    <w:rsid w:val="00950EC3"/>
    <w:rsid w:val="009A5AEC"/>
    <w:rsid w:val="00A13FEF"/>
    <w:rsid w:val="00A35E60"/>
    <w:rsid w:val="00A4252D"/>
    <w:rsid w:val="00A42FE4"/>
    <w:rsid w:val="00AF6B41"/>
    <w:rsid w:val="00B232C1"/>
    <w:rsid w:val="00B80DBB"/>
    <w:rsid w:val="00CE5B96"/>
    <w:rsid w:val="00DA3D68"/>
    <w:rsid w:val="00DB663E"/>
    <w:rsid w:val="00DF064B"/>
    <w:rsid w:val="00E82A35"/>
    <w:rsid w:val="00EE0095"/>
    <w:rsid w:val="00F11948"/>
    <w:rsid w:val="00F60868"/>
    <w:rsid w:val="00F84689"/>
    <w:rsid w:val="00F92335"/>
    <w:rsid w:val="00FF69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D707B"/>
  <w15:chartTrackingRefBased/>
  <w15:docId w15:val="{842574E9-24A1-4496-9933-C834559F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352"/>
    <w:pPr>
      <w:ind w:left="720"/>
      <w:contextualSpacing/>
    </w:pPr>
  </w:style>
  <w:style w:type="table" w:styleId="TableGrid">
    <w:name w:val="Table Grid"/>
    <w:basedOn w:val="TableNormal"/>
    <w:uiPriority w:val="39"/>
    <w:rsid w:val="00101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28B"/>
  </w:style>
  <w:style w:type="paragraph" w:styleId="Footer">
    <w:name w:val="footer"/>
    <w:basedOn w:val="Normal"/>
    <w:link w:val="FooterChar"/>
    <w:uiPriority w:val="99"/>
    <w:unhideWhenUsed/>
    <w:rsid w:val="00036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28B"/>
  </w:style>
  <w:style w:type="character" w:styleId="PageNumber">
    <w:name w:val="page number"/>
    <w:basedOn w:val="DefaultParagraphFont"/>
    <w:uiPriority w:val="99"/>
    <w:semiHidden/>
    <w:unhideWhenUsed/>
    <w:rsid w:val="0003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3007">
      <w:bodyDiv w:val="1"/>
      <w:marLeft w:val="0"/>
      <w:marRight w:val="0"/>
      <w:marTop w:val="0"/>
      <w:marBottom w:val="0"/>
      <w:divBdr>
        <w:top w:val="none" w:sz="0" w:space="0" w:color="auto"/>
        <w:left w:val="none" w:sz="0" w:space="0" w:color="auto"/>
        <w:bottom w:val="none" w:sz="0" w:space="0" w:color="auto"/>
        <w:right w:val="none" w:sz="0" w:space="0" w:color="auto"/>
      </w:divBdr>
    </w:div>
    <w:div w:id="409735069">
      <w:bodyDiv w:val="1"/>
      <w:marLeft w:val="0"/>
      <w:marRight w:val="0"/>
      <w:marTop w:val="0"/>
      <w:marBottom w:val="0"/>
      <w:divBdr>
        <w:top w:val="none" w:sz="0" w:space="0" w:color="auto"/>
        <w:left w:val="none" w:sz="0" w:space="0" w:color="auto"/>
        <w:bottom w:val="none" w:sz="0" w:space="0" w:color="auto"/>
        <w:right w:val="none" w:sz="0" w:space="0" w:color="auto"/>
      </w:divBdr>
    </w:div>
    <w:div w:id="506136608">
      <w:bodyDiv w:val="1"/>
      <w:marLeft w:val="0"/>
      <w:marRight w:val="0"/>
      <w:marTop w:val="0"/>
      <w:marBottom w:val="0"/>
      <w:divBdr>
        <w:top w:val="none" w:sz="0" w:space="0" w:color="auto"/>
        <w:left w:val="none" w:sz="0" w:space="0" w:color="auto"/>
        <w:bottom w:val="none" w:sz="0" w:space="0" w:color="auto"/>
        <w:right w:val="none" w:sz="0" w:space="0" w:color="auto"/>
      </w:divBdr>
    </w:div>
    <w:div w:id="556547261">
      <w:bodyDiv w:val="1"/>
      <w:marLeft w:val="0"/>
      <w:marRight w:val="0"/>
      <w:marTop w:val="0"/>
      <w:marBottom w:val="0"/>
      <w:divBdr>
        <w:top w:val="none" w:sz="0" w:space="0" w:color="auto"/>
        <w:left w:val="none" w:sz="0" w:space="0" w:color="auto"/>
        <w:bottom w:val="none" w:sz="0" w:space="0" w:color="auto"/>
        <w:right w:val="none" w:sz="0" w:space="0" w:color="auto"/>
      </w:divBdr>
    </w:div>
    <w:div w:id="629824155">
      <w:bodyDiv w:val="1"/>
      <w:marLeft w:val="0"/>
      <w:marRight w:val="0"/>
      <w:marTop w:val="0"/>
      <w:marBottom w:val="0"/>
      <w:divBdr>
        <w:top w:val="none" w:sz="0" w:space="0" w:color="auto"/>
        <w:left w:val="none" w:sz="0" w:space="0" w:color="auto"/>
        <w:bottom w:val="none" w:sz="0" w:space="0" w:color="auto"/>
        <w:right w:val="none" w:sz="0" w:space="0" w:color="auto"/>
      </w:divBdr>
    </w:div>
    <w:div w:id="676923161">
      <w:bodyDiv w:val="1"/>
      <w:marLeft w:val="0"/>
      <w:marRight w:val="0"/>
      <w:marTop w:val="0"/>
      <w:marBottom w:val="0"/>
      <w:divBdr>
        <w:top w:val="none" w:sz="0" w:space="0" w:color="auto"/>
        <w:left w:val="none" w:sz="0" w:space="0" w:color="auto"/>
        <w:bottom w:val="none" w:sz="0" w:space="0" w:color="auto"/>
        <w:right w:val="none" w:sz="0" w:space="0" w:color="auto"/>
      </w:divBdr>
    </w:div>
    <w:div w:id="705447780">
      <w:bodyDiv w:val="1"/>
      <w:marLeft w:val="0"/>
      <w:marRight w:val="0"/>
      <w:marTop w:val="0"/>
      <w:marBottom w:val="0"/>
      <w:divBdr>
        <w:top w:val="none" w:sz="0" w:space="0" w:color="auto"/>
        <w:left w:val="none" w:sz="0" w:space="0" w:color="auto"/>
        <w:bottom w:val="none" w:sz="0" w:space="0" w:color="auto"/>
        <w:right w:val="none" w:sz="0" w:space="0" w:color="auto"/>
      </w:divBdr>
    </w:div>
    <w:div w:id="890462219">
      <w:bodyDiv w:val="1"/>
      <w:marLeft w:val="0"/>
      <w:marRight w:val="0"/>
      <w:marTop w:val="0"/>
      <w:marBottom w:val="0"/>
      <w:divBdr>
        <w:top w:val="none" w:sz="0" w:space="0" w:color="auto"/>
        <w:left w:val="none" w:sz="0" w:space="0" w:color="auto"/>
        <w:bottom w:val="none" w:sz="0" w:space="0" w:color="auto"/>
        <w:right w:val="none" w:sz="0" w:space="0" w:color="auto"/>
      </w:divBdr>
    </w:div>
    <w:div w:id="941062775">
      <w:bodyDiv w:val="1"/>
      <w:marLeft w:val="0"/>
      <w:marRight w:val="0"/>
      <w:marTop w:val="0"/>
      <w:marBottom w:val="0"/>
      <w:divBdr>
        <w:top w:val="none" w:sz="0" w:space="0" w:color="auto"/>
        <w:left w:val="none" w:sz="0" w:space="0" w:color="auto"/>
        <w:bottom w:val="none" w:sz="0" w:space="0" w:color="auto"/>
        <w:right w:val="none" w:sz="0" w:space="0" w:color="auto"/>
      </w:divBdr>
    </w:div>
    <w:div w:id="960259733">
      <w:bodyDiv w:val="1"/>
      <w:marLeft w:val="0"/>
      <w:marRight w:val="0"/>
      <w:marTop w:val="0"/>
      <w:marBottom w:val="0"/>
      <w:divBdr>
        <w:top w:val="none" w:sz="0" w:space="0" w:color="auto"/>
        <w:left w:val="none" w:sz="0" w:space="0" w:color="auto"/>
        <w:bottom w:val="none" w:sz="0" w:space="0" w:color="auto"/>
        <w:right w:val="none" w:sz="0" w:space="0" w:color="auto"/>
      </w:divBdr>
    </w:div>
    <w:div w:id="1012682781">
      <w:bodyDiv w:val="1"/>
      <w:marLeft w:val="0"/>
      <w:marRight w:val="0"/>
      <w:marTop w:val="0"/>
      <w:marBottom w:val="0"/>
      <w:divBdr>
        <w:top w:val="none" w:sz="0" w:space="0" w:color="auto"/>
        <w:left w:val="none" w:sz="0" w:space="0" w:color="auto"/>
        <w:bottom w:val="none" w:sz="0" w:space="0" w:color="auto"/>
        <w:right w:val="none" w:sz="0" w:space="0" w:color="auto"/>
      </w:divBdr>
    </w:div>
    <w:div w:id="1481389798">
      <w:bodyDiv w:val="1"/>
      <w:marLeft w:val="0"/>
      <w:marRight w:val="0"/>
      <w:marTop w:val="0"/>
      <w:marBottom w:val="0"/>
      <w:divBdr>
        <w:top w:val="none" w:sz="0" w:space="0" w:color="auto"/>
        <w:left w:val="none" w:sz="0" w:space="0" w:color="auto"/>
        <w:bottom w:val="none" w:sz="0" w:space="0" w:color="auto"/>
        <w:right w:val="none" w:sz="0" w:space="0" w:color="auto"/>
      </w:divBdr>
    </w:div>
    <w:div w:id="1524631178">
      <w:bodyDiv w:val="1"/>
      <w:marLeft w:val="0"/>
      <w:marRight w:val="0"/>
      <w:marTop w:val="0"/>
      <w:marBottom w:val="0"/>
      <w:divBdr>
        <w:top w:val="none" w:sz="0" w:space="0" w:color="auto"/>
        <w:left w:val="none" w:sz="0" w:space="0" w:color="auto"/>
        <w:bottom w:val="none" w:sz="0" w:space="0" w:color="auto"/>
        <w:right w:val="none" w:sz="0" w:space="0" w:color="auto"/>
      </w:divBdr>
    </w:div>
    <w:div w:id="1555265980">
      <w:bodyDiv w:val="1"/>
      <w:marLeft w:val="0"/>
      <w:marRight w:val="0"/>
      <w:marTop w:val="0"/>
      <w:marBottom w:val="0"/>
      <w:divBdr>
        <w:top w:val="none" w:sz="0" w:space="0" w:color="auto"/>
        <w:left w:val="none" w:sz="0" w:space="0" w:color="auto"/>
        <w:bottom w:val="none" w:sz="0" w:space="0" w:color="auto"/>
        <w:right w:val="none" w:sz="0" w:space="0" w:color="auto"/>
      </w:divBdr>
    </w:div>
    <w:div w:id="1884709255">
      <w:bodyDiv w:val="1"/>
      <w:marLeft w:val="0"/>
      <w:marRight w:val="0"/>
      <w:marTop w:val="0"/>
      <w:marBottom w:val="0"/>
      <w:divBdr>
        <w:top w:val="none" w:sz="0" w:space="0" w:color="auto"/>
        <w:left w:val="none" w:sz="0" w:space="0" w:color="auto"/>
        <w:bottom w:val="none" w:sz="0" w:space="0" w:color="auto"/>
        <w:right w:val="none" w:sz="0" w:space="0" w:color="auto"/>
      </w:divBdr>
    </w:div>
    <w:div w:id="2036760272">
      <w:bodyDiv w:val="1"/>
      <w:marLeft w:val="0"/>
      <w:marRight w:val="0"/>
      <w:marTop w:val="0"/>
      <w:marBottom w:val="0"/>
      <w:divBdr>
        <w:top w:val="none" w:sz="0" w:space="0" w:color="auto"/>
        <w:left w:val="none" w:sz="0" w:space="0" w:color="auto"/>
        <w:bottom w:val="none" w:sz="0" w:space="0" w:color="auto"/>
        <w:right w:val="none" w:sz="0" w:space="0" w:color="auto"/>
      </w:divBdr>
    </w:div>
    <w:div w:id="206085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2" ma:contentTypeDescription="Izveidot jaunu dokumentu." ma:contentTypeScope="" ma:versionID="9b032fff6bf36156226faed4bad492cd">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77b1890a0ce21545bc12fb226dfd3aeb"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8ba81-43cb-40ab-be5b-551047c626d1}"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C27A1-2EA9-46AF-8905-F3561168D4AA}">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2.xml><?xml version="1.0" encoding="utf-8"?>
<ds:datastoreItem xmlns:ds="http://schemas.openxmlformats.org/officeDocument/2006/customXml" ds:itemID="{F9C86A74-EEBE-49A1-A10C-60B13E1F76A0}">
  <ds:schemaRefs>
    <ds:schemaRef ds:uri="http://schemas.microsoft.com/sharepoint/v3/contenttype/forms"/>
  </ds:schemaRefs>
</ds:datastoreItem>
</file>

<file path=customXml/itemProps3.xml><?xml version="1.0" encoding="utf-8"?>
<ds:datastoreItem xmlns:ds="http://schemas.openxmlformats.org/officeDocument/2006/customXml" ds:itemID="{ED963EB0-A831-496F-9283-7E6F8B8BCAF6}"/>
</file>

<file path=docProps/app.xml><?xml version="1.0" encoding="utf-8"?>
<Properties xmlns="http://schemas.openxmlformats.org/officeDocument/2006/extended-properties" xmlns:vt="http://schemas.openxmlformats.org/officeDocument/2006/docPropsVTypes">
  <Template>Normal.dotm</Template>
  <TotalTime>1</TotalTime>
  <Pages>2</Pages>
  <Words>2221</Words>
  <Characters>1266</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Pārskats par ECF kompetenču attiecināmību</dc:title>
  <dc:subject/>
  <dc:creator>Elīna Virtmane</dc:creator>
  <cp:keywords/>
  <dc:description/>
  <cp:lastModifiedBy>Elīna Virtmane</cp:lastModifiedBy>
  <cp:revision>3</cp:revision>
  <cp:lastPrinted>2021-05-25T15:26:00Z</cp:lastPrinted>
  <dcterms:created xsi:type="dcterms:W3CDTF">2023-05-26T14:56:00Z</dcterms:created>
  <dcterms:modified xsi:type="dcterms:W3CDTF">2023-05-26T14:57:00Z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2307200</vt:r8>
  </property>
  <property fmtid="{D5CDD505-2E9C-101B-9397-08002B2CF9AE}" pid="4" name="MediaServiceImageTags">
    <vt:lpwstr/>
  </property>
</Properties>
</file>