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9D0E" w14:textId="32B32EC2" w:rsidR="00DC244A" w:rsidRPr="007A29BD" w:rsidRDefault="00DC244A" w:rsidP="00DC24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publisk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un privāt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partner</w:t>
      </w:r>
      <w:r w:rsidR="00B520DE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 xml:space="preserve"> veiktajiem iepirkumiem </w:t>
      </w:r>
      <w:r w:rsidRPr="00B6619C">
        <w:rPr>
          <w:b/>
          <w:color w:val="4472C4" w:themeColor="accent1"/>
        </w:rPr>
        <w:t>Metadati</w:t>
      </w:r>
    </w:p>
    <w:p w14:paraId="122AEE24" w14:textId="77777777" w:rsidR="00DC244A" w:rsidRPr="00E944DD" w:rsidRDefault="00DC244A" w:rsidP="00DC244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3FE9C92" w14:textId="6615CB78" w:rsidR="00DC244A" w:rsidRDefault="00DC244A" w:rsidP="00DC244A">
      <w:pPr>
        <w:jc w:val="both"/>
      </w:pPr>
      <w:r>
        <w:t>Publisk</w:t>
      </w:r>
      <w:r w:rsidR="004832F1">
        <w:t>ie</w:t>
      </w:r>
      <w:r>
        <w:t xml:space="preserve"> vai privāt</w:t>
      </w:r>
      <w:r w:rsidR="004832F1">
        <w:t>ie</w:t>
      </w:r>
      <w:r>
        <w:t xml:space="preserve"> partneri, kuri piemēro Publiskās un privātās partnerības likumu, iesniedz Iepirkumu uzraudzības birojam statistikas pārskatu Nr. 5-PPPL. </w:t>
      </w:r>
    </w:p>
    <w:p w14:paraId="29C93713" w14:textId="2393E718" w:rsidR="00DC244A" w:rsidRDefault="00DC244A" w:rsidP="00DC244A">
      <w:pPr>
        <w:jc w:val="both"/>
      </w:pPr>
      <w:r>
        <w:t>Publisk</w:t>
      </w:r>
      <w:r w:rsidR="004832F1">
        <w:t>o</w:t>
      </w:r>
      <w:r>
        <w:t xml:space="preserve"> un privāt</w:t>
      </w:r>
      <w:r w:rsidR="004832F1">
        <w:t>o</w:t>
      </w:r>
      <w:r>
        <w:t xml:space="preserve"> part</w:t>
      </w:r>
      <w:r w:rsidR="00E82339">
        <w:t>ner</w:t>
      </w:r>
      <w:r w:rsidR="004832F1">
        <w:t>u</w:t>
      </w:r>
      <w:r>
        <w:t xml:space="preserve"> </w:t>
      </w:r>
      <w:r w:rsidRPr="00B07FFE">
        <w:t xml:space="preserve">veikto iepirkumu un noslēgto līgumu apkopoto statistisko pārskatu kopums nodrošina pārskatāmu </w:t>
      </w:r>
      <w:r>
        <w:t>datu</w:t>
      </w:r>
      <w:r w:rsidRPr="00B07FFE">
        <w:t xml:space="preserve"> kopu</w:t>
      </w:r>
      <w:r>
        <w:t xml:space="preserve"> atbilstoši</w:t>
      </w:r>
      <w:r w:rsidRPr="00B07FFE">
        <w:t xml:space="preserve"> Ministru kabineta 201</w:t>
      </w:r>
      <w:r>
        <w:t>7</w:t>
      </w:r>
      <w:r w:rsidRPr="00B07FFE">
        <w:t>.</w:t>
      </w:r>
      <w:r>
        <w:t xml:space="preserve"> </w:t>
      </w:r>
      <w:r w:rsidRPr="00B07FFE">
        <w:t xml:space="preserve">gada </w:t>
      </w:r>
      <w:r>
        <w:t>28</w:t>
      </w:r>
      <w:r w:rsidRPr="00B07FFE">
        <w:t>.</w:t>
      </w:r>
      <w:r>
        <w:t> februāra</w:t>
      </w:r>
      <w:r w:rsidRPr="00B07FFE">
        <w:t xml:space="preserve"> noteikumos Nr.</w:t>
      </w:r>
      <w:r>
        <w:t> </w:t>
      </w:r>
      <w:r w:rsidRPr="00B07FFE">
        <w:t>1</w:t>
      </w:r>
      <w:r>
        <w:t>0</w:t>
      </w:r>
      <w:r w:rsidRPr="00B07FFE">
        <w:t xml:space="preserve">2 </w:t>
      </w:r>
      <w:r>
        <w:t>„</w:t>
      </w:r>
      <w:r w:rsidRPr="00B07FFE">
        <w:t xml:space="preserve">Noteikumi par oficiālās statistikas veidlapu paraugiem iepirkumu jomā un veidlapu iesniegšanas un aizpildīšanas kārtību” </w:t>
      </w:r>
      <w:r>
        <w:t>ietvertajiem</w:t>
      </w:r>
      <w:r w:rsidRPr="00B07FFE">
        <w:t xml:space="preserve"> rādītājiem.</w:t>
      </w:r>
    </w:p>
    <w:p w14:paraId="2752A9EC" w14:textId="07E6CF69" w:rsidR="00DC244A" w:rsidRDefault="00DC244A" w:rsidP="00DC244A">
      <w:pPr>
        <w:jc w:val="both"/>
      </w:pPr>
      <w:r>
        <w:t xml:space="preserve">Dati tiek grupēti pēc iepirkumiem zem Eiropas Savienības (turpmāk – ES) līgumcenu sliekšņa, kur paredzamā līgumcena </w:t>
      </w:r>
      <w:r w:rsidRPr="007C696F">
        <w:t>(sākot no 1 līdz 5 </w:t>
      </w:r>
      <w:r w:rsidR="00FF0CDC">
        <w:t>3</w:t>
      </w:r>
      <w:r w:rsidR="00C37FE1">
        <w:t>81</w:t>
      </w:r>
      <w:r w:rsidR="00E86803" w:rsidRPr="007C696F">
        <w:t> </w:t>
      </w:r>
      <w:r w:rsidRPr="007C696F">
        <w:t>999 EUR)</w:t>
      </w:r>
      <w:r>
        <w:t xml:space="preserve"> ir zemāka par Ministru kabineta noteikumos noteikto līgumcenas robežvērtību (turpmāk – zem ES līgumcenu sliekšņa iepirkumi), norādot iepirkumu skaitu un noslēgto līgumu līgumcenas bez pievienotās vērtības nodokļa </w:t>
      </w:r>
      <w:proofErr w:type="gramStart"/>
      <w:r>
        <w:t>(</w:t>
      </w:r>
      <w:proofErr w:type="gramEnd"/>
      <w:r>
        <w:t xml:space="preserve">turpmāk – PVN), </w:t>
      </w:r>
      <w:r w:rsidR="00E82339">
        <w:t xml:space="preserve">un pēc iepirkumiem virs ES līgumcenu sliekšņa, kur paredzamā līgumcena </w:t>
      </w:r>
      <w:r w:rsidR="00E82339" w:rsidRPr="007C696F">
        <w:t>(sākot no 5 </w:t>
      </w:r>
      <w:r w:rsidR="00FF0CDC">
        <w:t>3</w:t>
      </w:r>
      <w:r w:rsidR="00C37FE1">
        <w:t>82</w:t>
      </w:r>
      <w:r w:rsidR="00227944" w:rsidRPr="007C696F">
        <w:t> </w:t>
      </w:r>
      <w:r w:rsidR="00E82339">
        <w:t>000</w:t>
      </w:r>
      <w:r w:rsidR="00E82339" w:rsidRPr="007C696F">
        <w:t xml:space="preserve"> EUR)</w:t>
      </w:r>
      <w:r w:rsidR="00E82339">
        <w:t xml:space="preserve"> ir lielāka par Ministru kabineta noteikumos noteikto līgumcenas robežvērtību (turpmāk – virs ES līgumcenu sliekšņa iepirkumi), norādot iepirkumu skaitu un noslēgto līgumu līgumcenas bez PVN, </w:t>
      </w:r>
      <w:r>
        <w:t>kā arī pēc likuma piemērošanas izņēmumiem.</w:t>
      </w:r>
    </w:p>
    <w:p w14:paraId="294D8A4B" w14:textId="7D0FB622" w:rsidR="00DC244A" w:rsidRDefault="00DC244A" w:rsidP="00DC244A">
      <w:pPr>
        <w:jc w:val="both"/>
      </w:pPr>
      <w:r>
        <w:t xml:space="preserve">Minētie dati nodrošina datu kopumu par </w:t>
      </w:r>
      <w:r w:rsidR="00E82339">
        <w:t>publiskās un privātās partnerības</w:t>
      </w:r>
      <w:r>
        <w:t xml:space="preserve"> noslēgtajiem pakalpojumu un būvdarbu līgumiem zem </w:t>
      </w:r>
      <w:r w:rsidR="00E82339">
        <w:t xml:space="preserve">un virs </w:t>
      </w:r>
      <w:r>
        <w:t xml:space="preserve">ES līgumcenu sliekšņa, likuma piemērošanas izņēmumiem, līgumu skaitu un līgumcenām bez PVN, kurus noslēguši </w:t>
      </w:r>
      <w:r w:rsidR="00E82339">
        <w:t>publiskais vai privātais partneris</w:t>
      </w:r>
      <w:r>
        <w:t xml:space="preserve">, piemērojot </w:t>
      </w:r>
      <w:r w:rsidR="00E82339">
        <w:t>Publiskās un privātās partnerības</w:t>
      </w:r>
      <w:r w:rsidR="0057533F">
        <w:t xml:space="preserve"> </w:t>
      </w:r>
      <w:r>
        <w:t>likumu</w:t>
      </w:r>
      <w:r w:rsidR="0057533F">
        <w:t>.</w:t>
      </w:r>
      <w:r w:rsidR="00893D70">
        <w:t xml:space="preserve"> Papildus </w:t>
      </w:r>
      <w:proofErr w:type="gramStart"/>
      <w:r w:rsidR="00893D70">
        <w:t>pieejama informācija</w:t>
      </w:r>
      <w:proofErr w:type="gramEnd"/>
      <w:r w:rsidR="00893D70">
        <w:t xml:space="preserve"> par uzvarējušā pretendenta valstspiederību.</w:t>
      </w:r>
    </w:p>
    <w:p w14:paraId="25ED15F9" w14:textId="77DE7931" w:rsidR="00DC244A" w:rsidRDefault="00DC244A" w:rsidP="00DC244A">
      <w:pPr>
        <w:jc w:val="both"/>
      </w:pPr>
      <w:r w:rsidRPr="003A6027">
        <w:t xml:space="preserve">Dati iegūti no </w:t>
      </w:r>
      <w:r w:rsidR="0057533F">
        <w:t>publisk</w:t>
      </w:r>
      <w:r w:rsidR="00E67697">
        <w:t>o</w:t>
      </w:r>
      <w:r w:rsidR="0057533F">
        <w:t xml:space="preserve"> vai privāt</w:t>
      </w:r>
      <w:r w:rsidR="00E67697">
        <w:t>o</w:t>
      </w:r>
      <w:r w:rsidR="0057533F">
        <w:t xml:space="preserve"> partner</w:t>
      </w:r>
      <w:r w:rsidR="00E67697">
        <w:t>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pārskatiem.</w:t>
      </w:r>
    </w:p>
    <w:p w14:paraId="1370B1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54301AC" w14:textId="0B124805" w:rsidR="00DC244A" w:rsidRPr="00306637" w:rsidRDefault="00DC244A" w:rsidP="00DC244A">
      <w:pPr>
        <w:jc w:val="both"/>
      </w:pPr>
      <w:r w:rsidRPr="00306637">
        <w:t xml:space="preserve">Dati tīmekļvietnes sadaļā </w:t>
      </w:r>
      <w:r w:rsidR="00FF0CDC" w:rsidRPr="00C37FE1">
        <w:rPr>
          <w:b/>
          <w:bCs/>
          <w:i/>
          <w:iCs/>
        </w:rPr>
        <w:t>Iepirkumu dati</w:t>
      </w:r>
      <w:r w:rsidR="00FF0CDC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>
        <w:rPr>
          <w:b/>
          <w:i/>
        </w:rPr>
        <w:t xml:space="preserve"> </w:t>
      </w:r>
      <w:r w:rsidRPr="00306637">
        <w:rPr>
          <w:b/>
          <w:i/>
        </w:rPr>
        <w:t>/</w:t>
      </w:r>
      <w:r>
        <w:rPr>
          <w:b/>
          <w:i/>
        </w:rPr>
        <w:t xml:space="preserve">/Oficiālās statistikas veidlapu apkopojums /Kopsavilkums par </w:t>
      </w:r>
      <w:r w:rsidR="0057533F">
        <w:rPr>
          <w:b/>
          <w:i/>
        </w:rPr>
        <w:t>publisk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un privāt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partner</w:t>
      </w:r>
      <w:r w:rsidR="00BD44DC">
        <w:rPr>
          <w:b/>
          <w:i/>
        </w:rPr>
        <w:t>u</w:t>
      </w:r>
      <w:r w:rsidR="0057533F">
        <w:rPr>
          <w:b/>
          <w:i/>
        </w:rPr>
        <w:t xml:space="preserve"> veiktajiem iepirkumiem</w:t>
      </w:r>
      <w:r>
        <w:rPr>
          <w:b/>
          <w:i/>
        </w:rPr>
        <w:t xml:space="preserve"> </w:t>
      </w:r>
      <w:proofErr w:type="gramStart"/>
      <w:r w:rsidRPr="00306637">
        <w:t>tiek publicēti</w:t>
      </w:r>
      <w:proofErr w:type="gramEnd"/>
      <w:r w:rsidRPr="00306637">
        <w:t xml:space="preserve"> saskaņā ar aktuālo </w:t>
      </w:r>
      <w:hyperlink r:id="rId7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DC244A" w14:paraId="240D2C88" w14:textId="77777777" w:rsidTr="008451E4">
        <w:tc>
          <w:tcPr>
            <w:tcW w:w="3385" w:type="dxa"/>
            <w:vAlign w:val="center"/>
          </w:tcPr>
          <w:p w14:paraId="56A417EC" w14:textId="77777777" w:rsidR="00DC244A" w:rsidRDefault="00DC244A" w:rsidP="008451E4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70369CE9" w14:textId="77777777" w:rsidR="00DC244A" w:rsidRDefault="00DC244A" w:rsidP="008451E4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7A2E9139" w14:textId="77777777" w:rsidR="00DC244A" w:rsidRDefault="00DC244A" w:rsidP="008451E4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67863E34" w14:textId="77777777" w:rsidR="00DC244A" w:rsidRDefault="00DC244A" w:rsidP="008451E4">
            <w:pPr>
              <w:jc w:val="center"/>
            </w:pPr>
            <w:r>
              <w:t>Piezīmes</w:t>
            </w:r>
          </w:p>
        </w:tc>
      </w:tr>
      <w:tr w:rsidR="00DC244A" w14:paraId="389E1DE2" w14:textId="77777777" w:rsidTr="008451E4">
        <w:tc>
          <w:tcPr>
            <w:tcW w:w="3385" w:type="dxa"/>
            <w:vAlign w:val="center"/>
          </w:tcPr>
          <w:p w14:paraId="28721681" w14:textId="79657953" w:rsidR="00DC244A" w:rsidRDefault="00DC244A" w:rsidP="008451E4">
            <w:r>
              <w:t xml:space="preserve">Kopsavilkums par </w:t>
            </w:r>
            <w:r w:rsidR="0057533F">
              <w:t>publisk</w:t>
            </w:r>
            <w:r w:rsidR="005463FE">
              <w:t>o</w:t>
            </w:r>
            <w:r w:rsidR="0057533F">
              <w:t xml:space="preserve"> un privāt</w:t>
            </w:r>
            <w:r w:rsidR="005463FE">
              <w:t>o</w:t>
            </w:r>
            <w:r w:rsidR="0057533F">
              <w:t xml:space="preserve"> partner</w:t>
            </w:r>
            <w:r w:rsidR="005463FE">
              <w:t>u</w:t>
            </w:r>
            <w:r w:rsidR="0057533F">
              <w:t xml:space="preserve"> veiktajiem iepirkumiem</w:t>
            </w:r>
          </w:p>
        </w:tc>
        <w:tc>
          <w:tcPr>
            <w:tcW w:w="2526" w:type="dxa"/>
            <w:vAlign w:val="bottom"/>
          </w:tcPr>
          <w:p w14:paraId="3BD61613" w14:textId="49D095C4" w:rsidR="00DC244A" w:rsidRDefault="00DC244A" w:rsidP="00173BB5">
            <w:pPr>
              <w:jc w:val="center"/>
            </w:pPr>
            <w:r>
              <w:t>par 20</w:t>
            </w:r>
            <w:r w:rsidR="00386E21">
              <w:t>2</w:t>
            </w:r>
            <w:r w:rsidR="00DD4EF6">
              <w:t>1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1F19AE1F" w14:textId="591EC06E" w:rsidR="00DC244A" w:rsidRDefault="00386E21" w:rsidP="008451E4">
            <w:r>
              <w:t>2</w:t>
            </w:r>
            <w:r w:rsidR="00C37FE1">
              <w:t>8</w:t>
            </w:r>
            <w:r w:rsidR="00DC244A">
              <w:t>.10.20</w:t>
            </w:r>
            <w:r w:rsidR="0057533F">
              <w:t>2</w:t>
            </w:r>
            <w:r w:rsidR="00C37FE1">
              <w:t>2</w:t>
            </w:r>
            <w:r w:rsidR="00DC244A">
              <w:t>.</w:t>
            </w:r>
          </w:p>
        </w:tc>
        <w:tc>
          <w:tcPr>
            <w:tcW w:w="1344" w:type="dxa"/>
            <w:vAlign w:val="center"/>
          </w:tcPr>
          <w:p w14:paraId="37399F39" w14:textId="77777777" w:rsidR="00DC244A" w:rsidRDefault="00DC244A" w:rsidP="008451E4">
            <w:pPr>
              <w:jc w:val="center"/>
            </w:pPr>
          </w:p>
        </w:tc>
      </w:tr>
      <w:tr w:rsidR="00386E21" w14:paraId="72F2F140" w14:textId="77777777" w:rsidTr="008451E4">
        <w:tc>
          <w:tcPr>
            <w:tcW w:w="3385" w:type="dxa"/>
            <w:vAlign w:val="center"/>
          </w:tcPr>
          <w:p w14:paraId="1795BC25" w14:textId="0A9111D3" w:rsidR="00386E21" w:rsidRDefault="00386E21" w:rsidP="00386E21">
            <w:r>
              <w:t>Kopsavilkums par publisko un privāto partneru veiktajiem iepirkumiem</w:t>
            </w:r>
          </w:p>
        </w:tc>
        <w:tc>
          <w:tcPr>
            <w:tcW w:w="2526" w:type="dxa"/>
            <w:vAlign w:val="bottom"/>
          </w:tcPr>
          <w:p w14:paraId="6044FFA2" w14:textId="6FA7C97E" w:rsidR="00C37FE1" w:rsidRDefault="00C37FE1" w:rsidP="00386E21">
            <w:pPr>
              <w:jc w:val="center"/>
            </w:pPr>
            <w:r>
              <w:t>par 2020. gadu</w:t>
            </w:r>
          </w:p>
          <w:p w14:paraId="665F9362" w14:textId="4648572C" w:rsidR="00386E21" w:rsidRDefault="00386E21" w:rsidP="00386E21">
            <w:pPr>
              <w:jc w:val="center"/>
            </w:pPr>
            <w:r>
              <w:t>par 2019. gadu</w:t>
            </w:r>
          </w:p>
        </w:tc>
        <w:tc>
          <w:tcPr>
            <w:tcW w:w="1387" w:type="dxa"/>
            <w:vAlign w:val="bottom"/>
          </w:tcPr>
          <w:p w14:paraId="7BA5FC6D" w14:textId="77777777" w:rsidR="00386E21" w:rsidRDefault="00386E21" w:rsidP="00386E21"/>
        </w:tc>
        <w:tc>
          <w:tcPr>
            <w:tcW w:w="1344" w:type="dxa"/>
            <w:vAlign w:val="center"/>
          </w:tcPr>
          <w:p w14:paraId="279F9512" w14:textId="77777777" w:rsidR="00386E21" w:rsidRDefault="00386E21" w:rsidP="00386E21">
            <w:pPr>
              <w:jc w:val="center"/>
            </w:pPr>
          </w:p>
          <w:p w14:paraId="54A2CD42" w14:textId="77777777" w:rsidR="00386E21" w:rsidRDefault="00386E21" w:rsidP="00386E21">
            <w:pPr>
              <w:jc w:val="center"/>
            </w:pPr>
          </w:p>
          <w:p w14:paraId="29D1DC08" w14:textId="30269EB2" w:rsidR="00386E21" w:rsidRDefault="00386E21" w:rsidP="00386E21">
            <w:pPr>
              <w:jc w:val="center"/>
            </w:pPr>
            <w:r>
              <w:t>Sk. arhīvu</w:t>
            </w:r>
          </w:p>
        </w:tc>
      </w:tr>
    </w:tbl>
    <w:p w14:paraId="24ED2837" w14:textId="77777777" w:rsidR="00DC244A" w:rsidRDefault="00DC244A" w:rsidP="00DC244A">
      <w:pPr>
        <w:jc w:val="both"/>
        <w:rPr>
          <w:b/>
          <w:sz w:val="24"/>
          <w:szCs w:val="24"/>
        </w:rPr>
      </w:pPr>
    </w:p>
    <w:p w14:paraId="4D876479" w14:textId="6FD5428A" w:rsidR="00331C5B" w:rsidRDefault="00331C5B" w:rsidP="00331C5B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7915AA49" w14:textId="3A9F140F" w:rsidR="00E86803" w:rsidRPr="00E86803" w:rsidRDefault="00C37FE1" w:rsidP="00DC24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="00E86803" w:rsidRPr="00E86803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="00E86803" w:rsidRPr="00E86803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="00E86803" w:rsidRPr="00E86803">
        <w:rPr>
          <w:bCs/>
          <w:sz w:val="24"/>
          <w:szCs w:val="24"/>
        </w:rPr>
        <w:t>.</w:t>
      </w:r>
    </w:p>
    <w:p w14:paraId="392C99E7" w14:textId="066202E4" w:rsidR="00DC244A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F18F72D" w14:textId="77777777" w:rsidR="00DC244A" w:rsidRDefault="00DC244A" w:rsidP="00DC244A">
      <w:pPr>
        <w:shd w:val="clear" w:color="auto" w:fill="FFFFFF" w:themeFill="background1"/>
        <w:jc w:val="both"/>
      </w:pPr>
      <w:r>
        <w:t>Apkopotie dati ir pieejami, sākot no 20</w:t>
      </w:r>
      <w:r w:rsidR="0057533F">
        <w:t>20</w:t>
      </w:r>
      <w:r>
        <w:t>. gada</w:t>
      </w:r>
      <w:r w:rsidR="0057533F">
        <w:t>.</w:t>
      </w:r>
    </w:p>
    <w:p w14:paraId="7BCF6564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5E71AAD5" w14:textId="40D287C1" w:rsidR="00DC244A" w:rsidRPr="007E51C5" w:rsidRDefault="00DC244A" w:rsidP="00DC244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FF0CDC">
        <w:t xml:space="preserve">vēlams </w:t>
      </w:r>
      <w:r w:rsidRPr="007E51C5">
        <w:t xml:space="preserve">norādot atsauces uz iegūtās informācijas avotu. </w:t>
      </w:r>
    </w:p>
    <w:p w14:paraId="49B390CF" w14:textId="77777777" w:rsidR="00DC244A" w:rsidRPr="00D34856" w:rsidRDefault="00DC244A" w:rsidP="00DC244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08C73077" w14:textId="77777777" w:rsidR="00DC244A" w:rsidRDefault="00DC244A" w:rsidP="00DC244A">
      <w:pPr>
        <w:jc w:val="both"/>
      </w:pPr>
      <w:r>
        <w:t xml:space="preserve">Datu izplatīšanas formāts (MS Excel). </w:t>
      </w:r>
    </w:p>
    <w:p w14:paraId="5C9B01D9" w14:textId="77777777" w:rsidR="00DC244A" w:rsidRPr="007C6669" w:rsidRDefault="00DC244A" w:rsidP="00DC244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>Datu lietotāji</w:t>
      </w:r>
      <w:proofErr w:type="gramStart"/>
      <w:r w:rsidRPr="007C6669">
        <w:rPr>
          <w:b/>
        </w:rPr>
        <w:t xml:space="preserve">     </w:t>
      </w:r>
      <w:proofErr w:type="gramEnd"/>
    </w:p>
    <w:p w14:paraId="41A2B9A6" w14:textId="77777777" w:rsidR="00DC244A" w:rsidRPr="007C6669" w:rsidRDefault="00DC244A" w:rsidP="00DC244A">
      <w:pPr>
        <w:shd w:val="clear" w:color="auto" w:fill="FFFFFF" w:themeFill="background1"/>
        <w:jc w:val="both"/>
      </w:pPr>
      <w:r>
        <w:t>Eiropas Komisija, Finanšu ministrija, sabiedrība</w:t>
      </w:r>
      <w:r w:rsidRPr="007C6669">
        <w:t>.</w:t>
      </w:r>
    </w:p>
    <w:p w14:paraId="1AB8EAA7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430EB7DF" w14:textId="77777777" w:rsidR="00DC244A" w:rsidRPr="007C6669" w:rsidRDefault="00DC244A" w:rsidP="00DC244A">
      <w:pPr>
        <w:jc w:val="both"/>
      </w:pPr>
      <w:r w:rsidRPr="007C6669">
        <w:t xml:space="preserve">Dati tiek iegūti pilnā apsekojumā, kur attiecīgo pārskatu iesniedz </w:t>
      </w:r>
      <w:r w:rsidR="0057533F">
        <w:t>publiskie un privātie partneri</w:t>
      </w:r>
      <w:r>
        <w:t xml:space="preserve">, </w:t>
      </w:r>
      <w:r w:rsidRPr="007C6669">
        <w:t xml:space="preserve">kuri piemēro </w:t>
      </w:r>
      <w:r w:rsidR="0057533F">
        <w:t>Publiskās un privātās partnerības</w:t>
      </w:r>
      <w:r w:rsidRPr="007C6669">
        <w:t xml:space="preserve">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8" w:history="1">
        <w:r w:rsidRPr="007C6669">
          <w:rPr>
            <w:color w:val="0563C1" w:themeColor="hyperlink"/>
            <w:u w:val="single"/>
          </w:rPr>
          <w:t>„</w:t>
        </w:r>
      </w:hyperlink>
      <w:hyperlink r:id="rId9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26B0D07D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683B0328" w14:textId="4B456C11" w:rsidR="00DC244A" w:rsidRPr="007C6669" w:rsidRDefault="0057533F" w:rsidP="00DC244A">
      <w:pPr>
        <w:jc w:val="both"/>
      </w:pPr>
      <w:r>
        <w:t>Publiskie un privātie partneri</w:t>
      </w:r>
      <w:r w:rsidR="00DC244A" w:rsidRPr="007C6669">
        <w:t xml:space="preserve">, kuri atskaites periodā slēguši līgumus par </w:t>
      </w:r>
      <w:r>
        <w:t>publisko un privāto partneru veiktajiem iepirkumiem</w:t>
      </w:r>
      <w:r w:rsidR="00DC244A" w:rsidRPr="007C6669">
        <w:t xml:space="preserve">. Lai elektroniski iesniegtu attiecīgo statistikas pārskatu, </w:t>
      </w:r>
      <w:r>
        <w:t>publiskajam vai privāta</w:t>
      </w:r>
      <w:r w:rsidR="00B655F6">
        <w:t>jam</w:t>
      </w:r>
      <w:r>
        <w:t xml:space="preserve"> partnerim</w:t>
      </w:r>
      <w:r w:rsidR="00DC244A" w:rsidRPr="007C6669">
        <w:t xml:space="preserve"> ir jābūt reģistrēt</w:t>
      </w:r>
      <w:r w:rsidR="00B655F6">
        <w:t>a</w:t>
      </w:r>
      <w:r w:rsidR="00DC244A" w:rsidRPr="007C6669">
        <w:t>m Publikāciju vadības sistēmas lietotāj</w:t>
      </w:r>
      <w:r w:rsidR="00B655F6">
        <w:t>a</w:t>
      </w:r>
      <w:r w:rsidR="00DC244A" w:rsidRPr="007C6669">
        <w:t>m.</w:t>
      </w:r>
    </w:p>
    <w:p w14:paraId="3AF4F4C4" w14:textId="77777777" w:rsidR="00DC244A" w:rsidRPr="00B02E17" w:rsidRDefault="00DC244A" w:rsidP="00DC244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5ED7DF" w14:textId="77777777" w:rsidR="00DC244A" w:rsidRPr="00EE7C26" w:rsidRDefault="00DC244A" w:rsidP="00DC244A">
      <w:pPr>
        <w:jc w:val="both"/>
      </w:pPr>
      <w:r>
        <w:t>Atskaites periods ir kalendārais gads.</w:t>
      </w:r>
    </w:p>
    <w:p w14:paraId="6B8C6997" w14:textId="77777777" w:rsidR="00DC244A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4BBAF0F" w14:textId="5ECB3E45" w:rsidR="00DC244A" w:rsidRPr="007C6669" w:rsidRDefault="00DC244A" w:rsidP="00DC244A">
      <w:pPr>
        <w:jc w:val="both"/>
      </w:pPr>
      <w:r w:rsidRPr="007C6669">
        <w:t xml:space="preserve">Statistikas pārskatu dati par noslēgtajiem pakalpojumu un būvdarbu līgumiem tiek </w:t>
      </w:r>
      <w:r w:rsidRPr="00CF07C0">
        <w:t xml:space="preserve">klasificēti pēc zem </w:t>
      </w:r>
      <w:r w:rsidR="0057533F">
        <w:t xml:space="preserve">un virs </w:t>
      </w:r>
      <w:r w:rsidRPr="00CF07C0">
        <w:t>ES līgumcenu sliekšņa</w:t>
      </w:r>
      <w:r>
        <w:t xml:space="preserve"> un likuma piemērošanas izņēmumu kārtībā slēgtiem līgumiem, </w:t>
      </w:r>
      <w:r w:rsidRPr="00CF07C0">
        <w:t>un</w:t>
      </w:r>
      <w:proofErr w:type="gramStart"/>
      <w:r w:rsidRPr="00CF07C0">
        <w:t xml:space="preserve"> sistematizēti pēc noteiktām kritēriju pazīmēm</w:t>
      </w:r>
      <w:proofErr w:type="gramEnd"/>
      <w:r w:rsidRPr="00CF07C0">
        <w:t>, kādas noteiktas oficiālās statistikas veidlapu paraugos</w:t>
      </w:r>
      <w:r w:rsidRPr="002F7C5E">
        <w:t>, piemēram,</w:t>
      </w:r>
      <w:r>
        <w:t xml:space="preserve"> iepirkumu veida. </w:t>
      </w:r>
    </w:p>
    <w:p w14:paraId="2F3786D3" w14:textId="77777777" w:rsidR="00DC244A" w:rsidRPr="00621F1C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03C2539" w14:textId="77777777" w:rsidR="00DC244A" w:rsidRPr="003A6027" w:rsidRDefault="00DC244A" w:rsidP="00DC244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1E6CA3A5" w14:textId="0C8AE943" w:rsidR="00DC244A" w:rsidRDefault="00DC244A" w:rsidP="00DC244A">
      <w:pPr>
        <w:jc w:val="both"/>
      </w:pPr>
      <w:r>
        <w:t xml:space="preserve">No </w:t>
      </w:r>
      <w:r w:rsidR="0057533F">
        <w:t>publisk</w:t>
      </w:r>
      <w:r w:rsidR="00104D38">
        <w:t>o</w:t>
      </w:r>
      <w:r w:rsidR="0057533F">
        <w:t xml:space="preserve"> un privāt</w:t>
      </w:r>
      <w:r w:rsidR="00104D38">
        <w:t>o</w:t>
      </w:r>
      <w:r w:rsidR="0057533F">
        <w:t xml:space="preserve"> partner</w:t>
      </w:r>
      <w:r w:rsidR="00104D38">
        <w:t>u</w:t>
      </w:r>
      <w:r w:rsidR="0057533F">
        <w:t xml:space="preserve"> iesniegt</w:t>
      </w:r>
      <w:r w:rsidR="00104D38">
        <w:t>aj</w:t>
      </w:r>
      <w:r w:rsidR="0057533F">
        <w:t>o</w:t>
      </w:r>
      <w:r w:rsidR="00104D38">
        <w:t>s</w:t>
      </w:r>
      <w:r>
        <w:t xml:space="preserve"> statistikas pārskatos iekļautās informācijas tiek iegūti kopēji sasummēti dati par valsti kopumā.</w:t>
      </w:r>
    </w:p>
    <w:p w14:paraId="3F3527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5260775" w14:textId="77777777" w:rsidR="00DC244A" w:rsidRPr="00946C41" w:rsidRDefault="0057533F" w:rsidP="00DC244A">
      <w:pPr>
        <w:jc w:val="both"/>
      </w:pPr>
      <w:r>
        <w:t>Publisko un privāto partneru ie</w:t>
      </w:r>
      <w:r w:rsidR="00DC244A" w:rsidRPr="00946C41">
        <w:t xml:space="preserve">sniegtā informācija nesatur konfidenciālus datus. </w:t>
      </w:r>
    </w:p>
    <w:p w14:paraId="62D1517F" w14:textId="77777777" w:rsidR="00E86803" w:rsidRDefault="00E86803" w:rsidP="00DC244A">
      <w:pPr>
        <w:jc w:val="both"/>
        <w:rPr>
          <w:b/>
          <w:sz w:val="24"/>
          <w:szCs w:val="24"/>
        </w:rPr>
      </w:pPr>
    </w:p>
    <w:p w14:paraId="4EF91940" w14:textId="65A76B6E" w:rsidR="00DC244A" w:rsidRPr="00C64F90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54A8EEE" w14:textId="77777777" w:rsidR="00DC244A" w:rsidRDefault="00DC244A" w:rsidP="00DC244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585A22C4" w14:textId="77777777" w:rsidR="00DC244A" w:rsidRPr="00DF3417" w:rsidRDefault="00DC244A" w:rsidP="00DC244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14F49F09" w14:textId="77777777" w:rsidR="00DC244A" w:rsidRPr="00946C41" w:rsidRDefault="00DC244A" w:rsidP="00DC244A">
      <w:pPr>
        <w:jc w:val="both"/>
      </w:pPr>
      <w:r w:rsidRPr="00946C41">
        <w:t xml:space="preserve">Apkopotie statistikas pārskata dati atbilst lietotāju vajadzībām, jo tie nosaka zem </w:t>
      </w:r>
      <w:r w:rsidR="0057533F">
        <w:t xml:space="preserve">un virs </w:t>
      </w:r>
      <w:r w:rsidRPr="00946C41">
        <w:t xml:space="preserve">ES līgumcenu sliekšņu un likuma piemērošanas izņēmumu kopējo noslēgto līgumu summu rādītājus kopā gada griezumā. </w:t>
      </w:r>
    </w:p>
    <w:p w14:paraId="0785C9FB" w14:textId="77777777" w:rsidR="00DC244A" w:rsidRPr="003431ED" w:rsidRDefault="00DC244A" w:rsidP="00DC244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2A24E05" w14:textId="7E0CFF73" w:rsidR="00DC244A" w:rsidRPr="00946C41" w:rsidRDefault="000D2F14" w:rsidP="00DC244A">
      <w:pPr>
        <w:jc w:val="both"/>
      </w:pPr>
      <w:r>
        <w:t>Publisko un privāto part</w:t>
      </w:r>
      <w:r w:rsidR="007C553B">
        <w:t>n</w:t>
      </w:r>
      <w:r>
        <w:t xml:space="preserve">eru </w:t>
      </w:r>
      <w:r w:rsidR="007C553B">
        <w:t>ie</w:t>
      </w:r>
      <w:r>
        <w:t>sniegto</w:t>
      </w:r>
      <w:r w:rsidR="00DC244A" w:rsidRPr="00946C41">
        <w:t xml:space="preserve"> statistikas pārskatu dati </w:t>
      </w:r>
      <w:r w:rsidR="007C553B">
        <w:t xml:space="preserve">ir daļēji </w:t>
      </w:r>
      <w:r w:rsidR="00DC244A">
        <w:t>pārbaudāmi</w:t>
      </w:r>
      <w:r w:rsidR="007C553B">
        <w:t>, salīdzinot ar Iepirkumu uzraudzības biroja tīmekļvietnē publicētajiem paziņojumiem</w:t>
      </w:r>
      <w:r w:rsidR="00DC244A" w:rsidRPr="00946C41">
        <w:t>.</w:t>
      </w:r>
    </w:p>
    <w:p w14:paraId="1797D343" w14:textId="77777777" w:rsidR="00DC244A" w:rsidRPr="00946C41" w:rsidRDefault="00DC244A" w:rsidP="00DC244A">
      <w:pPr>
        <w:jc w:val="both"/>
      </w:pPr>
      <w:r w:rsidRPr="00946C41">
        <w:t>Gada apkopoto datu precizitāte kopumā ir nemainīga.</w:t>
      </w:r>
    </w:p>
    <w:p w14:paraId="369062B8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C27FB38" w14:textId="45576217" w:rsidR="00DC244A" w:rsidRPr="00946C41" w:rsidRDefault="00DC244A" w:rsidP="00DC244A">
      <w:pPr>
        <w:jc w:val="both"/>
      </w:pPr>
      <w:r w:rsidRPr="00946C41">
        <w:t xml:space="preserve">Pārskatu par </w:t>
      </w:r>
      <w:r w:rsidR="000D2F14">
        <w:t>publisko un privāto part</w:t>
      </w:r>
      <w:r w:rsidR="00B03EC2">
        <w:t>n</w:t>
      </w:r>
      <w:r w:rsidR="000D2F14">
        <w:t>eru</w:t>
      </w:r>
      <w:r w:rsidRPr="00946C41">
        <w:t xml:space="preserve"> veiktajiem iepirkumiem </w:t>
      </w:r>
      <w:r w:rsidR="000D2F14">
        <w:t>publiska</w:t>
      </w:r>
      <w:r w:rsidR="00B03EC2">
        <w:t>is</w:t>
      </w:r>
      <w:r w:rsidR="000D2F14">
        <w:t xml:space="preserve"> </w:t>
      </w:r>
      <w:r w:rsidR="00B03EC2">
        <w:t xml:space="preserve">vai </w:t>
      </w:r>
      <w:r w:rsidR="000D2F14">
        <w:t>privāta</w:t>
      </w:r>
      <w:r w:rsidR="00B03EC2">
        <w:t>is</w:t>
      </w:r>
      <w:r w:rsidR="000D2F14">
        <w:t xml:space="preserve"> partneri</w:t>
      </w:r>
      <w:r w:rsidR="00B03EC2">
        <w:t>s</w:t>
      </w:r>
      <w:r w:rsidRPr="00946C41">
        <w:t xml:space="preserve"> iesniedz reizi gadā (līdz 1. </w:t>
      </w:r>
      <w:r w:rsidR="000D2F14">
        <w:t>aprīlim</w:t>
      </w:r>
      <w:r w:rsidRPr="00946C41">
        <w:t xml:space="preserve">). </w:t>
      </w:r>
    </w:p>
    <w:p w14:paraId="04DD6D09" w14:textId="548D5011" w:rsidR="00DC244A" w:rsidRPr="00946C41" w:rsidRDefault="000D2F14" w:rsidP="00DC244A">
      <w:pPr>
        <w:jc w:val="both"/>
      </w:pPr>
      <w:r>
        <w:t>Publisk</w:t>
      </w:r>
      <w:r w:rsidR="00B03EC2">
        <w:t>ie</w:t>
      </w:r>
      <w:r>
        <w:t xml:space="preserve"> un privāt</w:t>
      </w:r>
      <w:r w:rsidR="00B03EC2">
        <w:t>ie</w:t>
      </w:r>
      <w:r>
        <w:t xml:space="preserve"> part</w:t>
      </w:r>
      <w:r w:rsidR="000A7874">
        <w:t>n</w:t>
      </w:r>
      <w:r>
        <w:t>eri</w:t>
      </w:r>
      <w:r w:rsidR="00DC244A" w:rsidRPr="00946C41">
        <w:t xml:space="preserve">, kuri nav savlaicīgi iesnieguši gada statistikas pārskatus atbilstoši </w:t>
      </w:r>
      <w:r>
        <w:t>Publiskās</w:t>
      </w:r>
      <w:r w:rsidR="00DC244A" w:rsidRPr="00946C41">
        <w:t xml:space="preserve"> </w:t>
      </w:r>
      <w:r w:rsidR="000A7874">
        <w:t xml:space="preserve">un privātās partnerības </w:t>
      </w:r>
      <w:r w:rsidR="00DC244A" w:rsidRPr="00946C41">
        <w:t>likumam, tos iesniedz pēc atkārtota pieprasījuma un norādījuma par administratīvo atbildību.</w:t>
      </w:r>
    </w:p>
    <w:p w14:paraId="3DACB601" w14:textId="77777777" w:rsidR="00DC244A" w:rsidRPr="00946C41" w:rsidRDefault="00DC244A" w:rsidP="00DC244A">
      <w:pPr>
        <w:jc w:val="both"/>
      </w:pPr>
      <w:r w:rsidRPr="00946C41">
        <w:t xml:space="preserve">Iepirkumu uzraudzības biroja pienākums ir savlaicīgi apkopot </w:t>
      </w:r>
      <w:r w:rsidR="000A7874">
        <w:t>publisko un privāto partneru</w:t>
      </w:r>
      <w:r w:rsidRPr="00946C41">
        <w:t xml:space="preserve"> iesniegtos statistikas pārskatus</w:t>
      </w:r>
      <w:r w:rsidR="004E0D0B">
        <w:t>.</w:t>
      </w:r>
    </w:p>
    <w:p w14:paraId="25CF25FF" w14:textId="77777777" w:rsidR="00DC244A" w:rsidRPr="00946C41" w:rsidRDefault="00DC244A" w:rsidP="00DC244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16F1751E" w14:textId="77777777" w:rsidR="00DC244A" w:rsidRPr="00713B42" w:rsidRDefault="00DC244A" w:rsidP="00DC244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826AC55" w14:textId="77777777" w:rsidR="00DC244A" w:rsidRDefault="00DC244A" w:rsidP="00DC244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4E0D0B">
        <w:t>20</w:t>
      </w:r>
      <w:r>
        <w:t xml:space="preserve">. gadu). </w:t>
      </w:r>
    </w:p>
    <w:p w14:paraId="0EAE07B5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56A6187" w14:textId="77777777" w:rsidR="00DC244A" w:rsidRPr="00946C41" w:rsidRDefault="00DC244A" w:rsidP="00DC244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1D2C496B" w14:textId="77777777" w:rsidR="00DC244A" w:rsidRPr="000204D7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DC244A" w:rsidRPr="00C26E9C" w14:paraId="2899FE1A" w14:textId="77777777" w:rsidTr="008451E4">
        <w:tc>
          <w:tcPr>
            <w:tcW w:w="2542" w:type="dxa"/>
            <w:shd w:val="clear" w:color="auto" w:fill="auto"/>
          </w:tcPr>
          <w:p w14:paraId="47094B63" w14:textId="77777777" w:rsidR="00DC244A" w:rsidRPr="00C26E9C" w:rsidRDefault="00DC244A" w:rsidP="008451E4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4A9DF3AD" w14:textId="77777777" w:rsidR="00DC244A" w:rsidRPr="00C26E9C" w:rsidRDefault="00DC244A" w:rsidP="008451E4">
            <w:pPr>
              <w:jc w:val="both"/>
            </w:pPr>
            <w:r w:rsidRPr="00C26E9C">
              <w:t>Iepirkumu uzraudzības birojs</w:t>
            </w:r>
          </w:p>
        </w:tc>
      </w:tr>
      <w:tr w:rsidR="00DC244A" w:rsidRPr="00C26E9C" w14:paraId="55EFD5DC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6B60583" w14:textId="77777777" w:rsidR="00DC244A" w:rsidRDefault="00DC244A" w:rsidP="008451E4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7FFE32CD" w14:textId="77777777" w:rsidR="00DC244A" w:rsidRDefault="00DD4EF6" w:rsidP="008451E4">
            <w:pPr>
              <w:jc w:val="both"/>
            </w:pPr>
            <w:hyperlink r:id="rId10" w:history="1">
              <w:r w:rsidR="00DC244A" w:rsidRPr="002331CB">
                <w:rPr>
                  <w:rStyle w:val="Hyperlink"/>
                </w:rPr>
                <w:t>pasts@iu</w:t>
              </w:r>
              <w:r w:rsidR="00DC244A" w:rsidRPr="00BA38FD">
                <w:rPr>
                  <w:rStyle w:val="Hyperlink"/>
                </w:rPr>
                <w:t>b.gov.lv</w:t>
              </w:r>
            </w:hyperlink>
            <w:r w:rsidR="00DC244A">
              <w:t xml:space="preserve"> </w:t>
            </w:r>
          </w:p>
        </w:tc>
      </w:tr>
      <w:tr w:rsidR="00DC244A" w:rsidRPr="00C26E9C" w14:paraId="40918467" w14:textId="77777777" w:rsidTr="008451E4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C4EA2" w14:textId="77777777" w:rsidR="00DC244A" w:rsidRDefault="00DC244A" w:rsidP="008451E4">
            <w:pPr>
              <w:jc w:val="both"/>
            </w:pPr>
            <w:r>
              <w:t>Informācijas departaments</w:t>
            </w:r>
          </w:p>
        </w:tc>
      </w:tr>
      <w:tr w:rsidR="00DC244A" w:rsidRPr="00C26E9C" w14:paraId="15BBFDF3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9913E75" w14:textId="77777777" w:rsidR="00DC244A" w:rsidRPr="00C26E9C" w:rsidRDefault="00DC244A" w:rsidP="008451E4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4415DC94" w14:textId="03D1641C" w:rsidR="00DC244A" w:rsidRPr="00C26E9C" w:rsidRDefault="00C37FE1" w:rsidP="008451E4">
            <w:pPr>
              <w:jc w:val="both"/>
            </w:pPr>
            <w:r>
              <w:t>24556632</w:t>
            </w:r>
          </w:p>
        </w:tc>
      </w:tr>
    </w:tbl>
    <w:p w14:paraId="680A0122" w14:textId="77777777" w:rsidR="00DC244A" w:rsidRDefault="00DC244A" w:rsidP="00DC244A">
      <w:pPr>
        <w:jc w:val="both"/>
      </w:pPr>
    </w:p>
    <w:p w14:paraId="62DA557C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D0E519B" w14:textId="26541207" w:rsidR="00DC244A" w:rsidRPr="00946C41" w:rsidRDefault="00386E21" w:rsidP="00DC244A">
      <w:pPr>
        <w:jc w:val="both"/>
      </w:pPr>
      <w:r>
        <w:t>2</w:t>
      </w:r>
      <w:r w:rsidR="00C37FE1">
        <w:t>8</w:t>
      </w:r>
      <w:r w:rsidR="00DC244A">
        <w:t>.</w:t>
      </w:r>
      <w:r>
        <w:t>1</w:t>
      </w:r>
      <w:r w:rsidR="00DC244A">
        <w:t>0.20</w:t>
      </w:r>
      <w:r w:rsidR="004E0D0B">
        <w:t>2</w:t>
      </w:r>
      <w:r w:rsidR="00C37FE1">
        <w:t>2</w:t>
      </w:r>
      <w:r w:rsidR="00DC244A">
        <w:t>.</w:t>
      </w:r>
    </w:p>
    <w:p w14:paraId="595DA629" w14:textId="43EA1BAC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2B78C7B5" w14:textId="6F63FC98" w:rsidR="00C722AD" w:rsidRDefault="00C722AD" w:rsidP="00DC244A">
      <w:pPr>
        <w:jc w:val="both"/>
      </w:pPr>
      <w:r>
        <w:t>Saskaņā ar Publiskās un privātās partnerības likumu:</w:t>
      </w:r>
    </w:p>
    <w:p w14:paraId="0734612A" w14:textId="1ECD15A1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Publicēto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23758820" w14:textId="05188DA5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Rezultātu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362F6F30" w14:textId="622121AF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Izsludināto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78BC60A9" w14:textId="379E2DFA" w:rsidR="00DC244A" w:rsidRDefault="0093211B" w:rsidP="00DC244A">
      <w:r>
        <w:rPr>
          <w:bCs/>
          <w:sz w:val="24"/>
          <w:szCs w:val="24"/>
        </w:rPr>
        <w:fldChar w:fldCharType="end"/>
      </w:r>
    </w:p>
    <w:p w14:paraId="6DD537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4A"/>
    <w:rsid w:val="000A7874"/>
    <w:rsid w:val="000D2F14"/>
    <w:rsid w:val="00104D38"/>
    <w:rsid w:val="001225F5"/>
    <w:rsid w:val="00173BB5"/>
    <w:rsid w:val="00227944"/>
    <w:rsid w:val="00230B22"/>
    <w:rsid w:val="00331C5B"/>
    <w:rsid w:val="00386E21"/>
    <w:rsid w:val="003D2826"/>
    <w:rsid w:val="003D498E"/>
    <w:rsid w:val="003E2ADB"/>
    <w:rsid w:val="004832F1"/>
    <w:rsid w:val="004E0D0B"/>
    <w:rsid w:val="004F0276"/>
    <w:rsid w:val="005463FE"/>
    <w:rsid w:val="0057533F"/>
    <w:rsid w:val="0073314A"/>
    <w:rsid w:val="007C553B"/>
    <w:rsid w:val="00893D70"/>
    <w:rsid w:val="008B11EF"/>
    <w:rsid w:val="0093211B"/>
    <w:rsid w:val="00965969"/>
    <w:rsid w:val="00A03434"/>
    <w:rsid w:val="00AB4588"/>
    <w:rsid w:val="00B03EC2"/>
    <w:rsid w:val="00B122B7"/>
    <w:rsid w:val="00B520DE"/>
    <w:rsid w:val="00B655F6"/>
    <w:rsid w:val="00BD44DC"/>
    <w:rsid w:val="00C37FE1"/>
    <w:rsid w:val="00C722AD"/>
    <w:rsid w:val="00DC244A"/>
    <w:rsid w:val="00DD4EF6"/>
    <w:rsid w:val="00DE1D3E"/>
    <w:rsid w:val="00DF3732"/>
    <w:rsid w:val="00E67697"/>
    <w:rsid w:val="00E82339"/>
    <w:rsid w:val="00E86803"/>
    <w:rsid w:val="00EC567D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1B0"/>
  <w15:chartTrackingRefBased/>
  <w15:docId w15:val="{004FBAE7-146B-4C10-A6AC-77EFB92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4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6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7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ub.gov.lv/lv/datu-publicesanas-kalendar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sts@iub.gov.lv" TargetMode="External"/><Relationship Id="rId4" Type="http://schemas.openxmlformats.org/officeDocument/2006/relationships/styles" Target="styles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C9EFA-A1DB-490C-94F6-2695BFE93B5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AC4AD116-37C6-4C4E-97F0-26F85C334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D2BFA-BCB8-457D-8F77-2BB5CB71E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4189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13</cp:revision>
  <dcterms:created xsi:type="dcterms:W3CDTF">2020-10-28T16:35:00Z</dcterms:created>
  <dcterms:modified xsi:type="dcterms:W3CDTF">2022-10-31T10:39:00Z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1019200</vt:r8>
  </property>
  <property fmtid="{D5CDD505-2E9C-101B-9397-08002B2CF9AE}" pid="4" name="MediaServiceImageTags">
    <vt:lpwstr/>
  </property>
</Properties>
</file>