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05BF" w14:textId="3867B4DB" w:rsidR="00C077A3" w:rsidRDefault="00C077A3" w:rsidP="00C077A3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KOPSAVILKUMS PAR AIZSARDZĪBAS UN DROŠĪBAS JOMAS PĀRSKATU GALVENAJIEM RĀDĪTĀJIEM</w:t>
      </w:r>
    </w:p>
    <w:p w14:paraId="5EAF4295" w14:textId="77777777" w:rsidR="00C077A3" w:rsidRPr="005419DC" w:rsidRDefault="00C077A3" w:rsidP="00C077A3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049A31F0" w14:textId="77777777" w:rsidR="00C077A3" w:rsidRDefault="00C077A3" w:rsidP="00C077A3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2A7A7591" w14:textId="700BAA5D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Aizsardzības un drošības jomas iepirkumu likuma kārtībā apkopotiem pārskatiem gada griezumā. Sākotnēji infografikā ir norādīti svarīgākie dati par iesniegto pārskatu skaitu 202</w:t>
      </w:r>
      <w:r w:rsidR="00237AD7">
        <w:rPr>
          <w:sz w:val="28"/>
          <w:szCs w:val="28"/>
        </w:rPr>
        <w:t>1</w:t>
      </w:r>
      <w:r>
        <w:rPr>
          <w:sz w:val="28"/>
          <w:szCs w:val="28"/>
        </w:rPr>
        <w:t xml:space="preserve">. gadā un kopējā  līgumsumma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PVN). </w:t>
      </w:r>
    </w:p>
    <w:p w14:paraId="36FD0A0D" w14:textId="5183BCF2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24776E6A" w14:textId="64D666F1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pārskatos apkopoto virs un zem ES līgumcenu sliekšņa noslēgto līgumsummu un procentuālo īpatsvaru. Diagrammu attēls ir interaktīvi maināms</w:t>
      </w:r>
      <w:r w:rsidR="004375E2">
        <w:rPr>
          <w:sz w:val="28"/>
          <w:szCs w:val="28"/>
        </w:rPr>
        <w:t>, sadalot apļveida diagrammu divās krāsās: zem ES līgumcenu sliekšņa un v</w:t>
      </w:r>
      <w:r>
        <w:rPr>
          <w:sz w:val="28"/>
          <w:szCs w:val="28"/>
        </w:rPr>
        <w:t xml:space="preserve">irs </w:t>
      </w:r>
      <w:r w:rsidR="004375E2">
        <w:rPr>
          <w:sz w:val="28"/>
          <w:szCs w:val="28"/>
        </w:rPr>
        <w:t xml:space="preserve">ES sliekšņa rādītājos. Virs </w:t>
      </w:r>
      <w:r>
        <w:rPr>
          <w:sz w:val="28"/>
          <w:szCs w:val="28"/>
        </w:rPr>
        <w:t>apļa diagrammas ir iespēja mainīt attēlotos rādījumus. Ir divas attēlojuma iespējas. No kreisās puses apskatāms procentuālais īpatsvars. No labās puses apskatāma noslēgtā līgumcena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PVN).</w:t>
      </w:r>
    </w:p>
    <w:p w14:paraId="14D39C3F" w14:textId="6403C23D" w:rsidR="00C077A3" w:rsidRDefault="00C077A3" w:rsidP="00C077A3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noslēgto līgumsummu sadalījumu </w:t>
      </w:r>
      <w:r w:rsidR="00C24A0F">
        <w:rPr>
          <w:sz w:val="28"/>
          <w:szCs w:val="28"/>
        </w:rPr>
        <w:t xml:space="preserve">virs un </w:t>
      </w:r>
      <w:r>
        <w:rPr>
          <w:sz w:val="28"/>
          <w:szCs w:val="28"/>
        </w:rPr>
        <w:t>zem ES līgumcenu sliekšņa</w:t>
      </w:r>
      <w:r w:rsidR="00D15D23">
        <w:rPr>
          <w:sz w:val="28"/>
          <w:szCs w:val="28"/>
        </w:rPr>
        <w:t xml:space="preserve"> iepirkumiem</w:t>
      </w:r>
      <w:r>
        <w:rPr>
          <w:sz w:val="28"/>
          <w:szCs w:val="28"/>
        </w:rPr>
        <w:t xml:space="preserve"> pēc iepirkuma veida – būvdarbi, piegāde, pakalpojumi. Tiek attēlota viena pusapļa diagramma ar trīs krāsu efektiem. Virs diagrammas ir rādītāju maināmais logs, kurā ir iespēja mainīt diagrammas attēlojumu</w:t>
      </w:r>
      <w:r w:rsidR="00D15D23">
        <w:rPr>
          <w:sz w:val="28"/>
          <w:szCs w:val="28"/>
        </w:rPr>
        <w:t xml:space="preserve"> iepriekš minētiem rādītājiem</w:t>
      </w:r>
      <w:r>
        <w:rPr>
          <w:sz w:val="28"/>
          <w:szCs w:val="28"/>
        </w:rPr>
        <w:t xml:space="preserve"> pēc</w:t>
      </w:r>
      <w:r w:rsidR="00D15D23">
        <w:rPr>
          <w:sz w:val="28"/>
          <w:szCs w:val="28"/>
        </w:rPr>
        <w:t>: virs ES līgumcenu sliekšņa (%), virs ES līgumcenu sliekšņa (milj. EUR), zem ES līgumcenu sliekšņa (%), zem ES līgumcenu sliekšņa (milj. EUR).</w:t>
      </w:r>
    </w:p>
    <w:p w14:paraId="41833552" w14:textId="5A0A8795" w:rsidR="00AE690A" w:rsidRDefault="00AE690A" w:rsidP="00C077A3">
      <w:pPr>
        <w:rPr>
          <w:sz w:val="28"/>
          <w:szCs w:val="28"/>
        </w:rPr>
      </w:pPr>
      <w:r>
        <w:rPr>
          <w:sz w:val="28"/>
          <w:szCs w:val="28"/>
        </w:rPr>
        <w:t>Trešā ilustrācija attēlo noslēgto līgumsummu sadalījumu virs un zem ES līgumcenu sliekšņa</w:t>
      </w:r>
      <w:r w:rsidR="00B80C4F">
        <w:rPr>
          <w:sz w:val="28"/>
          <w:szCs w:val="28"/>
        </w:rPr>
        <w:t xml:space="preserve"> iepirkumiem</w:t>
      </w:r>
      <w:r>
        <w:rPr>
          <w:sz w:val="28"/>
          <w:szCs w:val="28"/>
        </w:rPr>
        <w:t xml:space="preserve"> pēc</w:t>
      </w:r>
      <w:r w:rsidR="00B80C4F">
        <w:rPr>
          <w:sz w:val="28"/>
          <w:szCs w:val="28"/>
        </w:rPr>
        <w:t xml:space="preserve"> paziņojumos</w:t>
      </w:r>
      <w:r>
        <w:rPr>
          <w:sz w:val="28"/>
          <w:szCs w:val="28"/>
        </w:rPr>
        <w:t xml:space="preserve"> norādīt</w:t>
      </w:r>
      <w:r w:rsidR="00B80C4F">
        <w:rPr>
          <w:sz w:val="28"/>
          <w:szCs w:val="28"/>
        </w:rPr>
        <w:t>ām pazīmēm</w:t>
      </w:r>
      <w:r>
        <w:rPr>
          <w:sz w:val="28"/>
          <w:szCs w:val="28"/>
        </w:rPr>
        <w:t xml:space="preserve"> centralizēt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 xml:space="preserve"> un decentralizēt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 xml:space="preserve"> iepirkum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>. Tiek attēlota viena pusapļa diagramma ar diviem krāsu efektiem. Virs diagrammas ir rādītāju maināmais logs, kurā ir iespēja mainīt diagrammas attēlojumu</w:t>
      </w:r>
      <w:r w:rsidR="00B80C4F">
        <w:rPr>
          <w:sz w:val="28"/>
          <w:szCs w:val="28"/>
        </w:rPr>
        <w:t xml:space="preserve"> iepriekš minētiem rādītājiem pēc: virs ES līgumcenu sliekšņa (%), virs ES līgumcenu sliekšņa (milj. EUR), zem ES līgumcenu sliekšņa (%), zem ES līgumcenu sliekšņa (milj. EUR).</w:t>
      </w:r>
    </w:p>
    <w:p w14:paraId="151DD828" w14:textId="7C600AAE" w:rsidR="00C077A3" w:rsidRDefault="00AE690A" w:rsidP="00C077A3">
      <w:pPr>
        <w:rPr>
          <w:sz w:val="28"/>
          <w:szCs w:val="28"/>
        </w:rPr>
      </w:pPr>
      <w:r>
        <w:rPr>
          <w:sz w:val="28"/>
          <w:szCs w:val="28"/>
        </w:rPr>
        <w:t>Ceturtā</w:t>
      </w:r>
      <w:r w:rsidR="00C077A3">
        <w:rPr>
          <w:sz w:val="28"/>
          <w:szCs w:val="28"/>
        </w:rPr>
        <w:t xml:space="preserve"> ilustrācija attēlo </w:t>
      </w:r>
      <w:r>
        <w:rPr>
          <w:sz w:val="28"/>
          <w:szCs w:val="28"/>
        </w:rPr>
        <w:t xml:space="preserve">TOP 5 līgumu summu sadalījumu un procentuālo īpatsvaru virs </w:t>
      </w:r>
      <w:r w:rsidR="00C077A3">
        <w:rPr>
          <w:sz w:val="28"/>
          <w:szCs w:val="28"/>
        </w:rPr>
        <w:t>ES līgumcenu sliekšņa</w:t>
      </w:r>
      <w:r w:rsidR="0031055C">
        <w:rPr>
          <w:sz w:val="28"/>
          <w:szCs w:val="28"/>
        </w:rPr>
        <w:t xml:space="preserve"> iepirkumiem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pēc galvenajiem CPV kodiem</w:t>
      </w:r>
      <w:r w:rsidR="00C077A3">
        <w:rPr>
          <w:sz w:val="28"/>
          <w:szCs w:val="28"/>
        </w:rPr>
        <w:t xml:space="preserve">. Tiek attēlota stabiņveida diagramma </w:t>
      </w:r>
      <w:r w:rsidR="0031055C">
        <w:rPr>
          <w:sz w:val="28"/>
          <w:szCs w:val="28"/>
        </w:rPr>
        <w:t>un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procentuālā īpatsvara līkn</w:t>
      </w:r>
      <w:r w:rsidR="0031055C">
        <w:rPr>
          <w:sz w:val="28"/>
          <w:szCs w:val="28"/>
        </w:rPr>
        <w:t>e</w:t>
      </w:r>
      <w:r w:rsidR="00C077A3">
        <w:rPr>
          <w:sz w:val="28"/>
          <w:szCs w:val="28"/>
        </w:rPr>
        <w:t xml:space="preserve">.  </w:t>
      </w:r>
      <w:r w:rsidR="0031055C">
        <w:rPr>
          <w:sz w:val="28"/>
          <w:szCs w:val="28"/>
        </w:rPr>
        <w:t>K</w:t>
      </w:r>
      <w:r w:rsidR="00C077A3">
        <w:rPr>
          <w:sz w:val="28"/>
          <w:szCs w:val="28"/>
        </w:rPr>
        <w:t>atr</w:t>
      </w:r>
      <w:r w:rsidR="0031055C">
        <w:rPr>
          <w:sz w:val="28"/>
          <w:szCs w:val="28"/>
        </w:rPr>
        <w:t>s</w:t>
      </w:r>
      <w:r w:rsidR="00C077A3">
        <w:rPr>
          <w:sz w:val="28"/>
          <w:szCs w:val="28"/>
        </w:rPr>
        <w:t xml:space="preserve"> stabiņ</w:t>
      </w:r>
      <w:r w:rsidR="0031055C">
        <w:rPr>
          <w:sz w:val="28"/>
          <w:szCs w:val="28"/>
        </w:rPr>
        <w:t>š</w:t>
      </w:r>
      <w:r w:rsidR="00C077A3">
        <w:rPr>
          <w:sz w:val="28"/>
          <w:szCs w:val="28"/>
        </w:rPr>
        <w:t xml:space="preserve"> attēlo </w:t>
      </w:r>
      <w:r w:rsidR="001B4ECD">
        <w:rPr>
          <w:sz w:val="28"/>
          <w:szCs w:val="28"/>
        </w:rPr>
        <w:t xml:space="preserve">noslēgto līgumsummu </w:t>
      </w:r>
      <w:r w:rsidR="0031055C">
        <w:rPr>
          <w:sz w:val="28"/>
          <w:szCs w:val="28"/>
        </w:rPr>
        <w:lastRenderedPageBreak/>
        <w:t xml:space="preserve">pēc piemērotā CPV koda </w:t>
      </w:r>
      <w:r w:rsidR="001B4ECD">
        <w:rPr>
          <w:sz w:val="28"/>
          <w:szCs w:val="28"/>
        </w:rPr>
        <w:t xml:space="preserve">un </w:t>
      </w:r>
      <w:r w:rsidR="0031055C">
        <w:rPr>
          <w:sz w:val="28"/>
          <w:szCs w:val="28"/>
        </w:rPr>
        <w:t xml:space="preserve">uz </w:t>
      </w:r>
      <w:r w:rsidR="001B4ECD">
        <w:rPr>
          <w:sz w:val="28"/>
          <w:szCs w:val="28"/>
        </w:rPr>
        <w:t>līknes</w:t>
      </w:r>
      <w:r w:rsidR="0031055C">
        <w:rPr>
          <w:sz w:val="28"/>
          <w:szCs w:val="28"/>
        </w:rPr>
        <w:t xml:space="preserve"> attēloti CPV kodu</w:t>
      </w:r>
      <w:r w:rsidR="001B4ECD">
        <w:rPr>
          <w:sz w:val="28"/>
          <w:szCs w:val="28"/>
        </w:rPr>
        <w:t xml:space="preserve"> </w:t>
      </w:r>
      <w:r w:rsidR="00C077A3">
        <w:rPr>
          <w:sz w:val="28"/>
          <w:szCs w:val="28"/>
        </w:rPr>
        <w:t>procentuāli</w:t>
      </w:r>
      <w:r w:rsidR="0031055C">
        <w:rPr>
          <w:sz w:val="28"/>
          <w:szCs w:val="28"/>
        </w:rPr>
        <w:t xml:space="preserve">e </w:t>
      </w:r>
      <w:r w:rsidR="0051632D">
        <w:rPr>
          <w:sz w:val="28"/>
          <w:szCs w:val="28"/>
        </w:rPr>
        <w:t>rādītāji</w:t>
      </w:r>
      <w:r w:rsidR="00C077A3">
        <w:rPr>
          <w:sz w:val="28"/>
          <w:szCs w:val="28"/>
        </w:rPr>
        <w:t>.</w:t>
      </w:r>
      <w:r w:rsidR="0031055C">
        <w:rPr>
          <w:sz w:val="28"/>
          <w:szCs w:val="28"/>
        </w:rPr>
        <w:t xml:space="preserve"> Zem attēla tiek </w:t>
      </w:r>
      <w:r w:rsidR="00EF65F3">
        <w:rPr>
          <w:sz w:val="28"/>
          <w:szCs w:val="28"/>
        </w:rPr>
        <w:t>atšifrēti</w:t>
      </w:r>
      <w:r w:rsidR="0031055C">
        <w:rPr>
          <w:sz w:val="28"/>
          <w:szCs w:val="28"/>
        </w:rPr>
        <w:t xml:space="preserve"> visi </w:t>
      </w:r>
      <w:r w:rsidR="00EF65F3">
        <w:rPr>
          <w:sz w:val="28"/>
          <w:szCs w:val="28"/>
        </w:rPr>
        <w:t xml:space="preserve">norādītie </w:t>
      </w:r>
      <w:r w:rsidR="0031055C">
        <w:rPr>
          <w:sz w:val="28"/>
          <w:szCs w:val="28"/>
        </w:rPr>
        <w:t>CPV kodi.</w:t>
      </w:r>
    </w:p>
    <w:p w14:paraId="360131DF" w14:textId="14F6ACFC" w:rsidR="001B4ECD" w:rsidRDefault="001B4ECD" w:rsidP="001B4ECD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C077A3">
        <w:rPr>
          <w:sz w:val="28"/>
          <w:szCs w:val="28"/>
        </w:rPr>
        <w:t xml:space="preserve"> ilustrācija attēlo pārskatos norādīto</w:t>
      </w:r>
      <w:r w:rsidR="00EF65F3">
        <w:rPr>
          <w:sz w:val="28"/>
          <w:szCs w:val="28"/>
        </w:rPr>
        <w:t>s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virs ES līgumcenu sliekšņa rādītājus par </w:t>
      </w:r>
      <w:r w:rsidR="00E75E59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>valstisko piederību</w:t>
      </w:r>
      <w:r w:rsidR="00C077A3">
        <w:rPr>
          <w:sz w:val="28"/>
          <w:szCs w:val="28"/>
        </w:rPr>
        <w:t xml:space="preserve">. </w:t>
      </w:r>
      <w:r>
        <w:rPr>
          <w:sz w:val="28"/>
          <w:szCs w:val="28"/>
        </w:rPr>
        <w:t>Diagrammu attēls ir interaktīvi maināms. Virs apļa diagrammas ir iespēja mainīt attēlotos rādījumus</w:t>
      </w:r>
      <w:r w:rsidR="00112398">
        <w:rPr>
          <w:sz w:val="28"/>
          <w:szCs w:val="28"/>
        </w:rPr>
        <w:t xml:space="preserve">. </w:t>
      </w:r>
      <w:r>
        <w:rPr>
          <w:sz w:val="28"/>
          <w:szCs w:val="28"/>
        </w:rPr>
        <w:t>No kreisās puses apskatāma noslēgtā līgumcena (</w:t>
      </w:r>
      <w:r w:rsidRPr="001B4ECD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PVN). No labās puses apskatāms procentuālais īpatsvars.</w:t>
      </w:r>
      <w:r w:rsidR="00112398">
        <w:rPr>
          <w:sz w:val="28"/>
          <w:szCs w:val="28"/>
        </w:rPr>
        <w:t xml:space="preserve"> Apļveida diagramma attēlojas trīs krāsās pēc piegādātāju valstiskās piederības</w:t>
      </w:r>
      <w:r w:rsidR="002626E7">
        <w:rPr>
          <w:sz w:val="28"/>
          <w:szCs w:val="28"/>
        </w:rPr>
        <w:t>: no Latvijas, no citas ES valsts, no citas valsts.</w:t>
      </w:r>
    </w:p>
    <w:p w14:paraId="7A328A80" w14:textId="77777777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7FF853FF" w14:textId="77777777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4BB6315" w14:textId="77777777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2021. gads </w:t>
      </w:r>
    </w:p>
    <w:p w14:paraId="53D509CC" w14:textId="77777777" w:rsidR="00C077A3" w:rsidRPr="005419DC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2EE5C9FA" w14:textId="77777777" w:rsidR="00C077A3" w:rsidRDefault="00C077A3" w:rsidP="00C077A3"/>
    <w:p w14:paraId="408240C1" w14:textId="77777777" w:rsidR="00C077A3" w:rsidRDefault="00C077A3" w:rsidP="00C077A3"/>
    <w:p w14:paraId="13C66F9F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A3"/>
    <w:rsid w:val="00112398"/>
    <w:rsid w:val="001B4ECD"/>
    <w:rsid w:val="00237AD7"/>
    <w:rsid w:val="002626E7"/>
    <w:rsid w:val="00267A7C"/>
    <w:rsid w:val="0031055C"/>
    <w:rsid w:val="00417ADB"/>
    <w:rsid w:val="004375E2"/>
    <w:rsid w:val="0051632D"/>
    <w:rsid w:val="00565140"/>
    <w:rsid w:val="009822B5"/>
    <w:rsid w:val="009E6B28"/>
    <w:rsid w:val="00AE690A"/>
    <w:rsid w:val="00B80C4F"/>
    <w:rsid w:val="00C077A3"/>
    <w:rsid w:val="00C24A0F"/>
    <w:rsid w:val="00D15D23"/>
    <w:rsid w:val="00DD7979"/>
    <w:rsid w:val="00E75E59"/>
    <w:rsid w:val="00EF65F3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3FAF"/>
  <w15:chartTrackingRefBased/>
  <w15:docId w15:val="{F95FEE67-65CE-459C-88EF-7E04F292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EAD81-4872-4AC6-A2EC-2C370D22E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8EF3C-C03E-4699-94A5-7F3FBBDD161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77581834-414E-4E72-8289-7A4C5B7D5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15</cp:revision>
  <dcterms:created xsi:type="dcterms:W3CDTF">2021-10-27T11:03:00Z</dcterms:created>
  <dcterms:modified xsi:type="dcterms:W3CDTF">2022-10-26T11:49:00Z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1868400</vt:r8>
  </property>
  <property fmtid="{D5CDD505-2E9C-101B-9397-08002B2CF9AE}" pid="4" name="MediaServiceImageTags">
    <vt:lpwstr/>
  </property>
</Properties>
</file>