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64CF26D6"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746BF">
        <w:rPr>
          <w:sz w:val="28"/>
          <w:szCs w:val="28"/>
        </w:rPr>
        <w:t>2</w:t>
      </w:r>
      <w:r w:rsidR="00BB3954">
        <w:rPr>
          <w:sz w:val="28"/>
          <w:szCs w:val="28"/>
        </w:rPr>
        <w:t xml:space="preserve">. gada </w:t>
      </w:r>
      <w:r w:rsidR="00876023">
        <w:rPr>
          <w:sz w:val="28"/>
          <w:szCs w:val="28"/>
        </w:rPr>
        <w:t>3</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669FAEB7"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B2473F">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B2473F">
        <w:rPr>
          <w:sz w:val="28"/>
          <w:szCs w:val="28"/>
        </w:rPr>
        <w:t xml:space="preserve">paziņojums par apspriedi, </w:t>
      </w:r>
      <w:r w:rsidR="002C7365">
        <w:rPr>
          <w:sz w:val="28"/>
          <w:szCs w:val="28"/>
        </w:rPr>
        <w:t xml:space="preserve">paziņojums par </w:t>
      </w:r>
      <w:r w:rsidR="00650553">
        <w:rPr>
          <w:sz w:val="28"/>
          <w:szCs w:val="28"/>
        </w:rPr>
        <w:t>kvalifikācijas sistēmu</w:t>
      </w:r>
      <w:r w:rsidR="00E740AA">
        <w:rPr>
          <w:sz w:val="28"/>
          <w:szCs w:val="28"/>
        </w:rPr>
        <w:t xml:space="preserve">, </w:t>
      </w:r>
      <w:r>
        <w:rPr>
          <w:sz w:val="28"/>
          <w:szCs w:val="28"/>
        </w:rPr>
        <w:t>paziņojums par līgumu</w:t>
      </w:r>
      <w:r w:rsidR="00B2473F">
        <w:rPr>
          <w:sz w:val="28"/>
          <w:szCs w:val="28"/>
        </w:rPr>
        <w:t xml:space="preserve">, paziņojums par sociālajiem un citiem īpašiem pakalpojumiem – paziņojums par līgumu </w:t>
      </w:r>
      <w:r w:rsidR="006A3DA7">
        <w:rPr>
          <w:sz w:val="28"/>
          <w:szCs w:val="28"/>
        </w:rPr>
        <w:t xml:space="preserve">un </w:t>
      </w:r>
      <w:r>
        <w:rPr>
          <w:sz w:val="28"/>
          <w:szCs w:val="28"/>
        </w:rPr>
        <w:t xml:space="preserve">paziņojums par izmaiņām vai papildu informāciju.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B2473F">
        <w:rPr>
          <w:sz w:val="28"/>
          <w:szCs w:val="28"/>
        </w:rPr>
        <w:t xml:space="preserve">četras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446E83">
        <w:rPr>
          <w:sz w:val="28"/>
          <w:szCs w:val="28"/>
        </w:rPr>
        <w:t>, brīvprātīgs paziņojums par iepirkuma rezultātiem, paziņojums par sociālajiem un citiem īpašiem pakalpojumiem – paziņojums par līguma slēgšanas tiesību piemērošanu</w:t>
      </w:r>
      <w:r w:rsidR="002658C4">
        <w:rPr>
          <w:sz w:val="28"/>
          <w:szCs w:val="28"/>
        </w:rPr>
        <w:t xml:space="preserve">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E17A6B">
        <w:rPr>
          <w:sz w:val="28"/>
          <w:szCs w:val="28"/>
        </w:rPr>
        <w:t xml:space="preserve"> un paziņojums par sociālajiem un citiem īpašiem pakalpojumiem – paziņojums </w:t>
      </w:r>
      <w:r w:rsidR="00BC20A5">
        <w:rPr>
          <w:sz w:val="28"/>
          <w:szCs w:val="28"/>
        </w:rPr>
        <w:t>par līguma slēgšanas tiesību piemērošanu</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lastRenderedPageBreak/>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7A11C9B0"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9746BF">
        <w:rPr>
          <w:sz w:val="28"/>
          <w:szCs w:val="28"/>
        </w:rPr>
        <w:t>2</w:t>
      </w:r>
      <w:r w:rsidR="00170672">
        <w:rPr>
          <w:sz w:val="28"/>
          <w:szCs w:val="28"/>
        </w:rPr>
        <w:t xml:space="preserve">. gada </w:t>
      </w:r>
      <w:r w:rsidR="00BA37E3">
        <w:rPr>
          <w:sz w:val="28"/>
          <w:szCs w:val="28"/>
        </w:rPr>
        <w:t>3</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CD714C5"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650553">
        <w:rPr>
          <w:sz w:val="28"/>
          <w:szCs w:val="28"/>
        </w:rPr>
        <w:t>1</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17735F00" w:rsidR="00170672" w:rsidRDefault="00910504" w:rsidP="00170672">
      <w:pPr>
        <w:spacing w:after="0"/>
        <w:rPr>
          <w:sz w:val="28"/>
          <w:szCs w:val="28"/>
        </w:rPr>
      </w:pPr>
      <w:r>
        <w:rPr>
          <w:sz w:val="28"/>
          <w:szCs w:val="28"/>
        </w:rPr>
        <w:t>Periods</w:t>
      </w:r>
      <w:r w:rsidR="00170672">
        <w:rPr>
          <w:sz w:val="28"/>
          <w:szCs w:val="28"/>
        </w:rPr>
        <w:t>: 202</w:t>
      </w:r>
      <w:r w:rsidR="009746BF">
        <w:rPr>
          <w:sz w:val="28"/>
          <w:szCs w:val="28"/>
        </w:rPr>
        <w:t>2</w:t>
      </w:r>
      <w:r w:rsidR="00170672">
        <w:rPr>
          <w:sz w:val="28"/>
          <w:szCs w:val="28"/>
        </w:rPr>
        <w:t xml:space="preserve">. gada </w:t>
      </w:r>
      <w:r w:rsidR="00BA37E3">
        <w:rPr>
          <w:sz w:val="28"/>
          <w:szCs w:val="28"/>
        </w:rPr>
        <w:t>3</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46E83"/>
    <w:rsid w:val="004979C2"/>
    <w:rsid w:val="005C7A36"/>
    <w:rsid w:val="005F7610"/>
    <w:rsid w:val="00650553"/>
    <w:rsid w:val="00696CFC"/>
    <w:rsid w:val="006A3DA7"/>
    <w:rsid w:val="006B007C"/>
    <w:rsid w:val="006B2F0E"/>
    <w:rsid w:val="007A3308"/>
    <w:rsid w:val="0080004B"/>
    <w:rsid w:val="00876023"/>
    <w:rsid w:val="008975A0"/>
    <w:rsid w:val="008B11EF"/>
    <w:rsid w:val="00904719"/>
    <w:rsid w:val="00910504"/>
    <w:rsid w:val="0093353E"/>
    <w:rsid w:val="00950850"/>
    <w:rsid w:val="009746BF"/>
    <w:rsid w:val="009B0530"/>
    <w:rsid w:val="00AD4380"/>
    <w:rsid w:val="00AE49C3"/>
    <w:rsid w:val="00B2473F"/>
    <w:rsid w:val="00BA37E3"/>
    <w:rsid w:val="00BA600A"/>
    <w:rsid w:val="00BB3954"/>
    <w:rsid w:val="00BC20A5"/>
    <w:rsid w:val="00BF4C84"/>
    <w:rsid w:val="00C0410E"/>
    <w:rsid w:val="00C234C7"/>
    <w:rsid w:val="00D539BD"/>
    <w:rsid w:val="00DA3D17"/>
    <w:rsid w:val="00E12F96"/>
    <w:rsid w:val="00E17A6B"/>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C9658-8F90-4226-9879-E2687DCC828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AC2080C1-07C7-44B9-93E6-CE1CE4BA3587}">
  <ds:schemaRefs>
    <ds:schemaRef ds:uri="http://schemas.microsoft.com/sharepoint/v3/contenttype/forms"/>
  </ds:schemaRefs>
</ds:datastoreItem>
</file>

<file path=customXml/itemProps3.xml><?xml version="1.0" encoding="utf-8"?>
<ds:datastoreItem xmlns:ds="http://schemas.openxmlformats.org/officeDocument/2006/customXml" ds:itemID="{3BEEBE9C-8002-4781-B883-7E72F1D0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2719</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11</cp:revision>
  <dcterms:created xsi:type="dcterms:W3CDTF">2022-01-11T13:48:00Z</dcterms:created>
  <dcterms:modified xsi:type="dcterms:W3CDTF">2022-10-10T11:21:00Z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1872000</vt:r8>
  </property>
  <property fmtid="{D5CDD505-2E9C-101B-9397-08002B2CF9AE}" pid="4" name="MediaServiceImageTags">
    <vt:lpwstr/>
  </property>
</Properties>
</file>