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DDBB" w14:textId="77777777" w:rsidR="00A32F1D" w:rsidRPr="00A32F1D" w:rsidRDefault="00A32F1D" w:rsidP="00270EB6">
      <w:pPr>
        <w:spacing w:after="0"/>
        <w:contextualSpacing/>
        <w:jc w:val="center"/>
        <w:rPr>
          <w:smallCaps/>
          <w:sz w:val="40"/>
          <w:szCs w:val="40"/>
        </w:rPr>
      </w:pPr>
      <w:bookmarkStart w:id="0" w:name="_GoBack"/>
      <w:bookmarkEnd w:id="0"/>
      <w:r w:rsidRPr="00A32F1D">
        <w:rPr>
          <w:smallCaps/>
          <w:sz w:val="40"/>
          <w:szCs w:val="40"/>
        </w:rPr>
        <w:t xml:space="preserve">Latvijas Republikas </w:t>
      </w:r>
    </w:p>
    <w:p w14:paraId="76D72639" w14:textId="77777777" w:rsidR="00A32F1D" w:rsidRPr="00A32F1D" w:rsidRDefault="00A32F1D" w:rsidP="00270EB6">
      <w:pPr>
        <w:spacing w:after="0"/>
        <w:contextualSpacing/>
        <w:jc w:val="center"/>
        <w:rPr>
          <w:smallCaps/>
          <w:sz w:val="40"/>
          <w:szCs w:val="40"/>
        </w:rPr>
      </w:pPr>
      <w:r w:rsidRPr="00A32F1D">
        <w:rPr>
          <w:smallCaps/>
          <w:sz w:val="40"/>
          <w:szCs w:val="40"/>
        </w:rPr>
        <w:t>Augstākā tiesa</w:t>
      </w:r>
    </w:p>
    <w:p w14:paraId="36E24A00" w14:textId="77777777" w:rsidR="00A32F1D" w:rsidRDefault="00A32F1D" w:rsidP="00270EB6">
      <w:pPr>
        <w:spacing w:after="0"/>
        <w:contextualSpacing/>
        <w:jc w:val="center"/>
        <w:rPr>
          <w:b/>
          <w:smallCaps/>
          <w:sz w:val="40"/>
          <w:szCs w:val="40"/>
        </w:rPr>
      </w:pPr>
    </w:p>
    <w:p w14:paraId="223DAE0E" w14:textId="77777777" w:rsidR="00A32F1D" w:rsidRDefault="00A32F1D" w:rsidP="00270EB6">
      <w:pPr>
        <w:spacing w:after="0"/>
        <w:contextualSpacing/>
        <w:jc w:val="center"/>
        <w:rPr>
          <w:b/>
          <w:smallCaps/>
          <w:sz w:val="40"/>
          <w:szCs w:val="40"/>
        </w:rPr>
      </w:pPr>
    </w:p>
    <w:p w14:paraId="334B1093" w14:textId="77777777" w:rsidR="00A32F1D" w:rsidRDefault="00A32F1D" w:rsidP="00270EB6">
      <w:pPr>
        <w:spacing w:after="0"/>
        <w:contextualSpacing/>
        <w:jc w:val="center"/>
        <w:rPr>
          <w:b/>
          <w:smallCaps/>
          <w:sz w:val="40"/>
          <w:szCs w:val="40"/>
        </w:rPr>
      </w:pPr>
    </w:p>
    <w:p w14:paraId="61C7A7CC" w14:textId="77777777" w:rsidR="00A32F1D" w:rsidRDefault="00A32F1D" w:rsidP="00270EB6">
      <w:pPr>
        <w:spacing w:after="0"/>
        <w:contextualSpacing/>
        <w:jc w:val="center"/>
        <w:rPr>
          <w:b/>
          <w:smallCaps/>
          <w:sz w:val="40"/>
          <w:szCs w:val="40"/>
        </w:rPr>
      </w:pPr>
    </w:p>
    <w:p w14:paraId="437D397E" w14:textId="77777777" w:rsidR="00A32F1D" w:rsidRDefault="00A32F1D" w:rsidP="00270EB6">
      <w:pPr>
        <w:spacing w:after="0"/>
        <w:contextualSpacing/>
        <w:jc w:val="center"/>
        <w:rPr>
          <w:b/>
          <w:smallCaps/>
          <w:sz w:val="40"/>
          <w:szCs w:val="40"/>
        </w:rPr>
      </w:pPr>
    </w:p>
    <w:p w14:paraId="36135E55" w14:textId="77777777" w:rsidR="00A32F1D" w:rsidRDefault="00A32F1D" w:rsidP="00270EB6">
      <w:pPr>
        <w:spacing w:after="0"/>
        <w:contextualSpacing/>
        <w:jc w:val="center"/>
        <w:rPr>
          <w:b/>
          <w:smallCaps/>
          <w:sz w:val="40"/>
          <w:szCs w:val="40"/>
        </w:rPr>
      </w:pPr>
    </w:p>
    <w:p w14:paraId="2016A844" w14:textId="77777777" w:rsidR="00A32F1D" w:rsidRDefault="00A32F1D" w:rsidP="00270EB6">
      <w:pPr>
        <w:spacing w:after="0"/>
        <w:contextualSpacing/>
        <w:jc w:val="center"/>
        <w:rPr>
          <w:b/>
          <w:smallCaps/>
          <w:sz w:val="40"/>
          <w:szCs w:val="40"/>
        </w:rPr>
      </w:pPr>
    </w:p>
    <w:p w14:paraId="2041F3D3" w14:textId="77777777" w:rsidR="00A32F1D" w:rsidRDefault="00A32F1D" w:rsidP="00270EB6">
      <w:pPr>
        <w:spacing w:after="0"/>
        <w:contextualSpacing/>
        <w:jc w:val="center"/>
        <w:rPr>
          <w:b/>
          <w:smallCaps/>
          <w:sz w:val="40"/>
          <w:szCs w:val="40"/>
        </w:rPr>
      </w:pPr>
    </w:p>
    <w:p w14:paraId="615523D6" w14:textId="655ADF11" w:rsidR="00A32F1D" w:rsidRDefault="00580F76" w:rsidP="00270EB6">
      <w:pPr>
        <w:spacing w:after="0"/>
        <w:contextualSpacing/>
        <w:jc w:val="center"/>
        <w:rPr>
          <w:b/>
          <w:smallCaps/>
          <w:sz w:val="40"/>
          <w:szCs w:val="40"/>
        </w:rPr>
      </w:pPr>
      <w:r>
        <w:rPr>
          <w:b/>
          <w:smallCaps/>
          <w:sz w:val="40"/>
          <w:szCs w:val="40"/>
        </w:rPr>
        <w:t>Publisko iepirkumu lieta</w:t>
      </w:r>
      <w:r w:rsidR="00A32F1D">
        <w:rPr>
          <w:b/>
          <w:smallCaps/>
          <w:sz w:val="40"/>
          <w:szCs w:val="40"/>
        </w:rPr>
        <w:t>s</w:t>
      </w:r>
      <w:r>
        <w:rPr>
          <w:b/>
          <w:smallCaps/>
          <w:sz w:val="40"/>
          <w:szCs w:val="40"/>
        </w:rPr>
        <w:t>: Eiropas Savienības Tiesas prakse</w:t>
      </w:r>
    </w:p>
    <w:p w14:paraId="1A4CBD2F" w14:textId="77777777" w:rsidR="00A32F1D" w:rsidRDefault="00A32F1D" w:rsidP="00270EB6">
      <w:pPr>
        <w:spacing w:after="0"/>
        <w:contextualSpacing/>
        <w:jc w:val="center"/>
        <w:rPr>
          <w:b/>
          <w:smallCaps/>
          <w:sz w:val="40"/>
          <w:szCs w:val="40"/>
        </w:rPr>
      </w:pPr>
    </w:p>
    <w:p w14:paraId="0D0271E5" w14:textId="77777777" w:rsidR="00A32F1D" w:rsidRDefault="00A32F1D" w:rsidP="00270EB6">
      <w:pPr>
        <w:spacing w:after="0"/>
        <w:contextualSpacing/>
        <w:jc w:val="center"/>
        <w:rPr>
          <w:b/>
          <w:smallCaps/>
          <w:sz w:val="40"/>
          <w:szCs w:val="40"/>
        </w:rPr>
      </w:pPr>
    </w:p>
    <w:p w14:paraId="31D80C0C" w14:textId="07EB73F5" w:rsidR="00A32F1D" w:rsidRPr="00A32F1D" w:rsidRDefault="00360C26" w:rsidP="00270EB6">
      <w:pPr>
        <w:spacing w:after="0"/>
        <w:contextualSpacing/>
        <w:jc w:val="center"/>
        <w:rPr>
          <w:smallCaps/>
          <w:sz w:val="40"/>
          <w:szCs w:val="40"/>
        </w:rPr>
      </w:pPr>
      <w:r>
        <w:rPr>
          <w:smallCaps/>
          <w:sz w:val="40"/>
          <w:szCs w:val="40"/>
        </w:rPr>
        <w:t>2016</w:t>
      </w:r>
      <w:r w:rsidR="00A32F1D" w:rsidRPr="00A32F1D">
        <w:rPr>
          <w:smallCaps/>
          <w:sz w:val="40"/>
          <w:szCs w:val="40"/>
        </w:rPr>
        <w:t>.</w:t>
      </w:r>
      <w:r w:rsidR="002B6BCE" w:rsidRPr="00A32F1D">
        <w:rPr>
          <w:smallCaps/>
          <w:sz w:val="40"/>
          <w:szCs w:val="40"/>
        </w:rPr>
        <w:t>gads</w:t>
      </w:r>
      <w:r w:rsidR="00A32F1D" w:rsidRPr="00A32F1D">
        <w:rPr>
          <w:smallCaps/>
          <w:sz w:val="40"/>
          <w:szCs w:val="40"/>
        </w:rPr>
        <w:t>–2017.</w:t>
      </w:r>
      <w:r w:rsidR="002B6BCE">
        <w:rPr>
          <w:smallCaps/>
          <w:sz w:val="40"/>
          <w:szCs w:val="40"/>
        </w:rPr>
        <w:t>gada pirmais pusgads</w:t>
      </w:r>
    </w:p>
    <w:p w14:paraId="4853087E" w14:textId="77777777" w:rsidR="00A32F1D" w:rsidRDefault="00A32F1D" w:rsidP="00270EB6">
      <w:pPr>
        <w:spacing w:after="0"/>
        <w:contextualSpacing/>
        <w:jc w:val="center"/>
        <w:rPr>
          <w:b/>
          <w:sz w:val="40"/>
          <w:szCs w:val="40"/>
        </w:rPr>
      </w:pPr>
    </w:p>
    <w:p w14:paraId="3479A556" w14:textId="77777777" w:rsidR="00A32F1D" w:rsidRDefault="00A32F1D" w:rsidP="00270EB6">
      <w:pPr>
        <w:spacing w:after="0"/>
        <w:contextualSpacing/>
        <w:jc w:val="center"/>
        <w:rPr>
          <w:b/>
          <w:sz w:val="40"/>
          <w:szCs w:val="40"/>
        </w:rPr>
      </w:pPr>
    </w:p>
    <w:p w14:paraId="39C8ACBC" w14:textId="77777777" w:rsidR="00A32F1D" w:rsidRDefault="00A32F1D" w:rsidP="00270EB6">
      <w:pPr>
        <w:spacing w:after="0"/>
        <w:contextualSpacing/>
        <w:jc w:val="center"/>
        <w:rPr>
          <w:b/>
          <w:sz w:val="40"/>
          <w:szCs w:val="40"/>
        </w:rPr>
      </w:pPr>
    </w:p>
    <w:p w14:paraId="62976FA0" w14:textId="77777777" w:rsidR="00A32F1D" w:rsidRDefault="00A32F1D" w:rsidP="00270EB6">
      <w:pPr>
        <w:spacing w:after="0"/>
        <w:contextualSpacing/>
        <w:jc w:val="center"/>
        <w:rPr>
          <w:b/>
          <w:sz w:val="40"/>
          <w:szCs w:val="40"/>
        </w:rPr>
      </w:pPr>
    </w:p>
    <w:p w14:paraId="66A24A54" w14:textId="77777777" w:rsidR="00A32F1D" w:rsidRDefault="00A32F1D" w:rsidP="00270EB6">
      <w:pPr>
        <w:spacing w:after="0"/>
        <w:contextualSpacing/>
        <w:jc w:val="center"/>
        <w:rPr>
          <w:b/>
          <w:caps/>
          <w:sz w:val="40"/>
          <w:szCs w:val="40"/>
        </w:rPr>
      </w:pPr>
    </w:p>
    <w:p w14:paraId="70948587" w14:textId="4CA41FA7" w:rsidR="00090CDB" w:rsidRDefault="00090CDB" w:rsidP="006E60B4">
      <w:pPr>
        <w:tabs>
          <w:tab w:val="left" w:pos="8130"/>
        </w:tabs>
        <w:spacing w:after="0"/>
        <w:contextualSpacing/>
        <w:rPr>
          <w:b/>
          <w:caps/>
          <w:sz w:val="40"/>
          <w:szCs w:val="40"/>
        </w:rPr>
      </w:pPr>
    </w:p>
    <w:p w14:paraId="4C11D634" w14:textId="7134B0B5" w:rsidR="00A32F1D" w:rsidRDefault="006E60B4" w:rsidP="006E60B4">
      <w:pPr>
        <w:spacing w:after="0"/>
        <w:contextualSpacing/>
        <w:jc w:val="right"/>
        <w:rPr>
          <w:b/>
        </w:rPr>
      </w:pPr>
      <w:r>
        <w:rPr>
          <w:b/>
        </w:rPr>
        <w:t>Judikatūras un zinātniski analītiskā nodaļa</w:t>
      </w:r>
    </w:p>
    <w:p w14:paraId="63537563" w14:textId="77777777" w:rsidR="00A32F1D" w:rsidRDefault="00A32F1D" w:rsidP="00270EB6">
      <w:pPr>
        <w:spacing w:after="0"/>
        <w:contextualSpacing/>
        <w:jc w:val="center"/>
        <w:rPr>
          <w:b/>
        </w:rPr>
      </w:pPr>
    </w:p>
    <w:p w14:paraId="13CB3168" w14:textId="77777777" w:rsidR="00A32F1D" w:rsidRDefault="00A32F1D" w:rsidP="00270EB6">
      <w:pPr>
        <w:spacing w:after="0"/>
        <w:contextualSpacing/>
        <w:jc w:val="center"/>
        <w:rPr>
          <w:b/>
        </w:rPr>
      </w:pPr>
    </w:p>
    <w:p w14:paraId="75331F78" w14:textId="77777777" w:rsidR="00A32F1D" w:rsidRDefault="00A32F1D" w:rsidP="00270EB6">
      <w:pPr>
        <w:spacing w:after="0"/>
        <w:contextualSpacing/>
        <w:jc w:val="center"/>
        <w:rPr>
          <w:b/>
        </w:rPr>
      </w:pPr>
    </w:p>
    <w:p w14:paraId="454B43BE" w14:textId="77777777" w:rsidR="00A32F1D" w:rsidRDefault="00A32F1D" w:rsidP="00270EB6">
      <w:pPr>
        <w:spacing w:after="0"/>
        <w:contextualSpacing/>
        <w:rPr>
          <w:b/>
          <w:caps/>
          <w:sz w:val="40"/>
          <w:szCs w:val="40"/>
        </w:rPr>
      </w:pPr>
    </w:p>
    <w:p w14:paraId="7372A151" w14:textId="77777777" w:rsidR="00694692" w:rsidRDefault="00A32F1D" w:rsidP="00270EB6">
      <w:pPr>
        <w:spacing w:after="0"/>
        <w:contextualSpacing/>
        <w:jc w:val="center"/>
        <w:rPr>
          <w:smallCaps/>
          <w:sz w:val="40"/>
          <w:szCs w:val="40"/>
        </w:rPr>
      </w:pPr>
      <w:r w:rsidRPr="00A32F1D">
        <w:rPr>
          <w:smallCaps/>
          <w:sz w:val="40"/>
          <w:szCs w:val="40"/>
        </w:rPr>
        <w:t>Rīga 2017</w:t>
      </w:r>
    </w:p>
    <w:p w14:paraId="0FA3A3B4" w14:textId="77777777" w:rsidR="00142A23" w:rsidRPr="00B6204B" w:rsidRDefault="007D1745" w:rsidP="00B6204B">
      <w:pPr>
        <w:spacing w:after="160"/>
        <w:rPr>
          <w:b/>
          <w:smallCaps/>
          <w:sz w:val="28"/>
          <w:szCs w:val="28"/>
        </w:rPr>
      </w:pPr>
      <w:r>
        <w:rPr>
          <w:b/>
          <w:smallCaps/>
          <w:sz w:val="28"/>
          <w:szCs w:val="28"/>
        </w:rPr>
        <w:br w:type="page"/>
      </w:r>
      <w:bookmarkStart w:id="1" w:name="_Toc486596094"/>
    </w:p>
    <w:sdt>
      <w:sdtPr>
        <w:rPr>
          <w:rFonts w:ascii="Times New Roman" w:eastAsia="Calibri" w:hAnsi="Times New Roman" w:cs="Times New Roman"/>
          <w:color w:val="auto"/>
          <w:sz w:val="24"/>
          <w:szCs w:val="22"/>
          <w:lang w:val="lv-LV"/>
        </w:rPr>
        <w:id w:val="-1910682752"/>
        <w:docPartObj>
          <w:docPartGallery w:val="Table of Contents"/>
          <w:docPartUnique/>
        </w:docPartObj>
      </w:sdtPr>
      <w:sdtEndPr>
        <w:rPr>
          <w:b/>
          <w:bCs/>
          <w:noProof/>
        </w:rPr>
      </w:sdtEndPr>
      <w:sdtContent>
        <w:p w14:paraId="13CBECDC" w14:textId="77777777" w:rsidR="00142A23" w:rsidRPr="00360C26" w:rsidRDefault="00142A23" w:rsidP="00142A23">
          <w:pPr>
            <w:pStyle w:val="TOCHeading"/>
            <w:jc w:val="center"/>
            <w:rPr>
              <w:rFonts w:ascii="Times New Roman" w:hAnsi="Times New Roman" w:cs="Times New Roman"/>
              <w:b/>
              <w:caps/>
              <w:color w:val="auto"/>
              <w:sz w:val="28"/>
              <w:szCs w:val="28"/>
              <w:lang w:val="lv-LV"/>
            </w:rPr>
          </w:pPr>
          <w:r w:rsidRPr="00360C26">
            <w:rPr>
              <w:rFonts w:ascii="Times New Roman" w:hAnsi="Times New Roman" w:cs="Times New Roman"/>
              <w:b/>
              <w:caps/>
              <w:color w:val="auto"/>
              <w:sz w:val="28"/>
              <w:szCs w:val="28"/>
              <w:lang w:val="lv-LV"/>
            </w:rPr>
            <w:t>Satura rādītājs</w:t>
          </w:r>
        </w:p>
        <w:p w14:paraId="114A7DCE" w14:textId="77777777" w:rsidR="00142A23" w:rsidRPr="00360C26" w:rsidRDefault="00142A23" w:rsidP="00142A23"/>
        <w:p w14:paraId="16435D0F" w14:textId="77777777" w:rsidR="00542176" w:rsidRDefault="00142A23" w:rsidP="00876957">
          <w:pPr>
            <w:pStyle w:val="TOC2"/>
            <w:rPr>
              <w:rFonts w:asciiTheme="minorHAnsi" w:eastAsiaTheme="minorEastAsia" w:hAnsiTheme="minorHAnsi" w:cstheme="minorBidi"/>
              <w:sz w:val="22"/>
              <w:lang w:eastAsia="lv-LV"/>
            </w:rPr>
          </w:pPr>
          <w:r>
            <w:fldChar w:fldCharType="begin"/>
          </w:r>
          <w:r>
            <w:instrText xml:space="preserve"> TOC \o "1-4" \h \z \u </w:instrText>
          </w:r>
          <w:r>
            <w:fldChar w:fldCharType="separate"/>
          </w:r>
          <w:hyperlink w:anchor="_Toc491088005" w:history="1">
            <w:r w:rsidR="00542176" w:rsidRPr="00C64519">
              <w:rPr>
                <w:rStyle w:val="Hyperlink"/>
              </w:rPr>
              <w:t>Izmantoto saīsinājumu saraksts</w:t>
            </w:r>
            <w:r w:rsidR="00542176">
              <w:rPr>
                <w:webHidden/>
              </w:rPr>
              <w:tab/>
            </w:r>
            <w:r w:rsidR="00542176">
              <w:rPr>
                <w:webHidden/>
              </w:rPr>
              <w:fldChar w:fldCharType="begin"/>
            </w:r>
            <w:r w:rsidR="00542176">
              <w:rPr>
                <w:webHidden/>
              </w:rPr>
              <w:instrText xml:space="preserve"> PAGEREF _Toc491088005 \h </w:instrText>
            </w:r>
            <w:r w:rsidR="00542176">
              <w:rPr>
                <w:webHidden/>
              </w:rPr>
            </w:r>
            <w:r w:rsidR="00542176">
              <w:rPr>
                <w:webHidden/>
              </w:rPr>
              <w:fldChar w:fldCharType="separate"/>
            </w:r>
            <w:r w:rsidR="00542176">
              <w:rPr>
                <w:webHidden/>
              </w:rPr>
              <w:t>3</w:t>
            </w:r>
            <w:r w:rsidR="00542176">
              <w:rPr>
                <w:webHidden/>
              </w:rPr>
              <w:fldChar w:fldCharType="end"/>
            </w:r>
          </w:hyperlink>
        </w:p>
        <w:p w14:paraId="3155CF2F" w14:textId="77777777" w:rsidR="00542176" w:rsidRDefault="004A591C" w:rsidP="00876957">
          <w:pPr>
            <w:pStyle w:val="TOC2"/>
            <w:rPr>
              <w:rFonts w:asciiTheme="minorHAnsi" w:eastAsiaTheme="minorEastAsia" w:hAnsiTheme="minorHAnsi" w:cstheme="minorBidi"/>
              <w:sz w:val="22"/>
              <w:lang w:eastAsia="lv-LV"/>
            </w:rPr>
          </w:pPr>
          <w:hyperlink w:anchor="_Toc491088006" w:history="1">
            <w:r w:rsidR="00542176" w:rsidRPr="00C64519">
              <w:rPr>
                <w:rStyle w:val="Hyperlink"/>
              </w:rPr>
              <w:t>Ievads</w:t>
            </w:r>
            <w:r w:rsidR="00542176">
              <w:rPr>
                <w:webHidden/>
              </w:rPr>
              <w:tab/>
            </w:r>
            <w:r w:rsidR="00542176">
              <w:rPr>
                <w:webHidden/>
              </w:rPr>
              <w:fldChar w:fldCharType="begin"/>
            </w:r>
            <w:r w:rsidR="00542176">
              <w:rPr>
                <w:webHidden/>
              </w:rPr>
              <w:instrText xml:space="preserve"> PAGEREF _Toc491088006 \h </w:instrText>
            </w:r>
            <w:r w:rsidR="00542176">
              <w:rPr>
                <w:webHidden/>
              </w:rPr>
            </w:r>
            <w:r w:rsidR="00542176">
              <w:rPr>
                <w:webHidden/>
              </w:rPr>
              <w:fldChar w:fldCharType="separate"/>
            </w:r>
            <w:r w:rsidR="00542176">
              <w:rPr>
                <w:webHidden/>
              </w:rPr>
              <w:t>4</w:t>
            </w:r>
            <w:r w:rsidR="00542176">
              <w:rPr>
                <w:webHidden/>
              </w:rPr>
              <w:fldChar w:fldCharType="end"/>
            </w:r>
          </w:hyperlink>
        </w:p>
        <w:p w14:paraId="43FA0388" w14:textId="77777777" w:rsidR="00542176" w:rsidRDefault="004A591C" w:rsidP="00876957">
          <w:pPr>
            <w:pStyle w:val="TOC2"/>
            <w:rPr>
              <w:rFonts w:asciiTheme="minorHAnsi" w:eastAsiaTheme="minorEastAsia" w:hAnsiTheme="minorHAnsi" w:cstheme="minorBidi"/>
              <w:sz w:val="22"/>
              <w:lang w:eastAsia="lv-LV"/>
            </w:rPr>
          </w:pPr>
          <w:hyperlink w:anchor="_Toc491088007" w:history="1">
            <w:r w:rsidR="00542176" w:rsidRPr="00C64519">
              <w:rPr>
                <w:rStyle w:val="Hyperlink"/>
              </w:rPr>
              <w:t>1.</w:t>
            </w:r>
            <w:r w:rsidR="00542176">
              <w:rPr>
                <w:rFonts w:asciiTheme="minorHAnsi" w:eastAsiaTheme="minorEastAsia" w:hAnsiTheme="minorHAnsi" w:cstheme="minorBidi"/>
                <w:sz w:val="22"/>
                <w:lang w:eastAsia="lv-LV"/>
              </w:rPr>
              <w:tab/>
            </w:r>
            <w:r w:rsidR="00542176" w:rsidRPr="00C64519">
              <w:rPr>
                <w:rStyle w:val="Hyperlink"/>
              </w:rPr>
              <w:t>Tiesiskais regulējums un principi</w:t>
            </w:r>
            <w:r w:rsidR="00542176">
              <w:rPr>
                <w:webHidden/>
              </w:rPr>
              <w:tab/>
            </w:r>
            <w:r w:rsidR="00542176">
              <w:rPr>
                <w:webHidden/>
              </w:rPr>
              <w:fldChar w:fldCharType="begin"/>
            </w:r>
            <w:r w:rsidR="00542176">
              <w:rPr>
                <w:webHidden/>
              </w:rPr>
              <w:instrText xml:space="preserve"> PAGEREF _Toc491088007 \h </w:instrText>
            </w:r>
            <w:r w:rsidR="00542176">
              <w:rPr>
                <w:webHidden/>
              </w:rPr>
            </w:r>
            <w:r w:rsidR="00542176">
              <w:rPr>
                <w:webHidden/>
              </w:rPr>
              <w:fldChar w:fldCharType="separate"/>
            </w:r>
            <w:r w:rsidR="00542176">
              <w:rPr>
                <w:webHidden/>
              </w:rPr>
              <w:t>5</w:t>
            </w:r>
            <w:r w:rsidR="00542176">
              <w:rPr>
                <w:webHidden/>
              </w:rPr>
              <w:fldChar w:fldCharType="end"/>
            </w:r>
          </w:hyperlink>
        </w:p>
        <w:p w14:paraId="696660DB" w14:textId="77777777" w:rsidR="00542176" w:rsidRDefault="004A591C" w:rsidP="00876957">
          <w:pPr>
            <w:pStyle w:val="TOC2"/>
            <w:rPr>
              <w:rFonts w:asciiTheme="minorHAnsi" w:eastAsiaTheme="minorEastAsia" w:hAnsiTheme="minorHAnsi" w:cstheme="minorBidi"/>
              <w:sz w:val="22"/>
              <w:lang w:eastAsia="lv-LV"/>
            </w:rPr>
          </w:pPr>
          <w:hyperlink w:anchor="_Toc491088008" w:history="1">
            <w:r w:rsidR="00542176" w:rsidRPr="00C64519">
              <w:rPr>
                <w:rStyle w:val="Hyperlink"/>
              </w:rPr>
              <w:t>2.</w:t>
            </w:r>
            <w:r w:rsidR="00542176">
              <w:rPr>
                <w:rFonts w:asciiTheme="minorHAnsi" w:eastAsiaTheme="minorEastAsia" w:hAnsiTheme="minorHAnsi" w:cstheme="minorBidi"/>
                <w:sz w:val="22"/>
                <w:lang w:eastAsia="lv-LV"/>
              </w:rPr>
              <w:tab/>
            </w:r>
            <w:r w:rsidR="00542176" w:rsidRPr="00C64519">
              <w:rPr>
                <w:rStyle w:val="Hyperlink"/>
              </w:rPr>
              <w:t>Procesuālie aspekti</w:t>
            </w:r>
            <w:r w:rsidR="00542176">
              <w:rPr>
                <w:webHidden/>
              </w:rPr>
              <w:tab/>
            </w:r>
            <w:r w:rsidR="00542176">
              <w:rPr>
                <w:webHidden/>
              </w:rPr>
              <w:fldChar w:fldCharType="begin"/>
            </w:r>
            <w:r w:rsidR="00542176">
              <w:rPr>
                <w:webHidden/>
              </w:rPr>
              <w:instrText xml:space="preserve"> PAGEREF _Toc491088008 \h </w:instrText>
            </w:r>
            <w:r w:rsidR="00542176">
              <w:rPr>
                <w:webHidden/>
              </w:rPr>
            </w:r>
            <w:r w:rsidR="00542176">
              <w:rPr>
                <w:webHidden/>
              </w:rPr>
              <w:fldChar w:fldCharType="separate"/>
            </w:r>
            <w:r w:rsidR="00542176">
              <w:rPr>
                <w:webHidden/>
              </w:rPr>
              <w:t>7</w:t>
            </w:r>
            <w:r w:rsidR="00542176">
              <w:rPr>
                <w:webHidden/>
              </w:rPr>
              <w:fldChar w:fldCharType="end"/>
            </w:r>
          </w:hyperlink>
        </w:p>
        <w:p w14:paraId="179E9358" w14:textId="77777777" w:rsidR="00542176" w:rsidRDefault="004A591C">
          <w:pPr>
            <w:pStyle w:val="TOC4"/>
            <w:tabs>
              <w:tab w:val="right" w:leader="dot" w:pos="9061"/>
            </w:tabs>
            <w:rPr>
              <w:rFonts w:asciiTheme="minorHAnsi" w:eastAsiaTheme="minorEastAsia" w:hAnsiTheme="minorHAnsi" w:cstheme="minorBidi"/>
              <w:noProof/>
              <w:sz w:val="22"/>
              <w:lang w:eastAsia="lv-LV"/>
            </w:rPr>
          </w:pPr>
          <w:hyperlink w:anchor="_Toc491088009" w:history="1">
            <w:r w:rsidR="00542176" w:rsidRPr="00C64519">
              <w:rPr>
                <w:rStyle w:val="Hyperlink"/>
                <w:noProof/>
              </w:rPr>
              <w:t>Tiesības celt prasību</w:t>
            </w:r>
            <w:r w:rsidR="00542176">
              <w:rPr>
                <w:noProof/>
                <w:webHidden/>
              </w:rPr>
              <w:tab/>
            </w:r>
            <w:r w:rsidR="00542176">
              <w:rPr>
                <w:noProof/>
                <w:webHidden/>
              </w:rPr>
              <w:fldChar w:fldCharType="begin"/>
            </w:r>
            <w:r w:rsidR="00542176">
              <w:rPr>
                <w:noProof/>
                <w:webHidden/>
              </w:rPr>
              <w:instrText xml:space="preserve"> PAGEREF _Toc491088009 \h </w:instrText>
            </w:r>
            <w:r w:rsidR="00542176">
              <w:rPr>
                <w:noProof/>
                <w:webHidden/>
              </w:rPr>
            </w:r>
            <w:r w:rsidR="00542176">
              <w:rPr>
                <w:noProof/>
                <w:webHidden/>
              </w:rPr>
              <w:fldChar w:fldCharType="separate"/>
            </w:r>
            <w:r w:rsidR="00542176">
              <w:rPr>
                <w:noProof/>
                <w:webHidden/>
              </w:rPr>
              <w:t>7</w:t>
            </w:r>
            <w:r w:rsidR="00542176">
              <w:rPr>
                <w:noProof/>
                <w:webHidden/>
              </w:rPr>
              <w:fldChar w:fldCharType="end"/>
            </w:r>
          </w:hyperlink>
        </w:p>
        <w:p w14:paraId="39874C05" w14:textId="77777777" w:rsidR="00542176" w:rsidRPr="00876957" w:rsidRDefault="004A591C" w:rsidP="00876957">
          <w:pPr>
            <w:pStyle w:val="TOC2"/>
            <w:rPr>
              <w:rFonts w:asciiTheme="minorHAnsi" w:eastAsiaTheme="minorEastAsia" w:hAnsiTheme="minorHAnsi" w:cstheme="minorBidi"/>
              <w:sz w:val="22"/>
              <w:lang w:eastAsia="lv-LV"/>
            </w:rPr>
          </w:pPr>
          <w:hyperlink w:anchor="_Toc491088010" w:history="1">
            <w:r w:rsidR="00542176" w:rsidRPr="00876957">
              <w:rPr>
                <w:rStyle w:val="Hyperlink"/>
              </w:rPr>
              <w:t>3.</w:t>
            </w:r>
            <w:r w:rsidR="00542176" w:rsidRPr="00876957">
              <w:rPr>
                <w:rFonts w:asciiTheme="minorHAnsi" w:eastAsiaTheme="minorEastAsia" w:hAnsiTheme="minorHAnsi" w:cstheme="minorBidi"/>
                <w:sz w:val="22"/>
                <w:lang w:eastAsia="lv-LV"/>
              </w:rPr>
              <w:tab/>
            </w:r>
            <w:r w:rsidR="00542176" w:rsidRPr="00876957">
              <w:rPr>
                <w:rStyle w:val="Hyperlink"/>
              </w:rPr>
              <w:t>Materiāltiesiskie aspekti</w:t>
            </w:r>
            <w:r w:rsidR="00542176" w:rsidRPr="00876957">
              <w:rPr>
                <w:webHidden/>
              </w:rPr>
              <w:tab/>
            </w:r>
            <w:r w:rsidR="00542176" w:rsidRPr="00876957">
              <w:rPr>
                <w:webHidden/>
              </w:rPr>
              <w:fldChar w:fldCharType="begin"/>
            </w:r>
            <w:r w:rsidR="00542176" w:rsidRPr="00876957">
              <w:rPr>
                <w:webHidden/>
              </w:rPr>
              <w:instrText xml:space="preserve"> PAGEREF _Toc491088010 \h </w:instrText>
            </w:r>
            <w:r w:rsidR="00542176" w:rsidRPr="00876957">
              <w:rPr>
                <w:webHidden/>
              </w:rPr>
            </w:r>
            <w:r w:rsidR="00542176" w:rsidRPr="00876957">
              <w:rPr>
                <w:webHidden/>
              </w:rPr>
              <w:fldChar w:fldCharType="separate"/>
            </w:r>
            <w:r w:rsidR="00542176" w:rsidRPr="00876957">
              <w:rPr>
                <w:webHidden/>
              </w:rPr>
              <w:t>12</w:t>
            </w:r>
            <w:r w:rsidR="00542176" w:rsidRPr="00876957">
              <w:rPr>
                <w:webHidden/>
              </w:rPr>
              <w:fldChar w:fldCharType="end"/>
            </w:r>
          </w:hyperlink>
        </w:p>
        <w:p w14:paraId="167C265F" w14:textId="754BA64A" w:rsidR="00542176" w:rsidRDefault="004A591C">
          <w:pPr>
            <w:pStyle w:val="TOC3"/>
            <w:tabs>
              <w:tab w:val="left" w:pos="1100"/>
              <w:tab w:val="right" w:leader="dot" w:pos="9061"/>
            </w:tabs>
            <w:rPr>
              <w:rFonts w:asciiTheme="minorHAnsi" w:eastAsiaTheme="minorEastAsia" w:hAnsiTheme="minorHAnsi" w:cstheme="minorBidi"/>
              <w:noProof/>
              <w:sz w:val="22"/>
              <w:lang w:eastAsia="lv-LV"/>
            </w:rPr>
          </w:pPr>
          <w:hyperlink w:anchor="_Toc491088011" w:history="1">
            <w:r w:rsidR="00542176" w:rsidRPr="00C64519">
              <w:rPr>
                <w:rStyle w:val="Hyperlink"/>
                <w:noProof/>
              </w:rPr>
              <w:t>3.1.</w:t>
            </w:r>
            <w:r w:rsidR="00542176">
              <w:rPr>
                <w:rFonts w:asciiTheme="minorHAnsi" w:eastAsiaTheme="minorEastAsia" w:hAnsiTheme="minorHAnsi" w:cstheme="minorBidi"/>
                <w:noProof/>
                <w:sz w:val="22"/>
                <w:lang w:eastAsia="lv-LV"/>
              </w:rPr>
              <w:t> </w:t>
            </w:r>
            <w:r w:rsidR="00542176" w:rsidRPr="00C64519">
              <w:rPr>
                <w:rStyle w:val="Hyperlink"/>
                <w:noProof/>
              </w:rPr>
              <w:t>Iepirkuma dokumentācija, tajā noteiktās prasības un vērtēšanas kritēriji</w:t>
            </w:r>
            <w:r w:rsidR="00542176">
              <w:rPr>
                <w:noProof/>
                <w:webHidden/>
              </w:rPr>
              <w:tab/>
            </w:r>
            <w:r w:rsidR="00542176">
              <w:rPr>
                <w:noProof/>
                <w:webHidden/>
              </w:rPr>
              <w:fldChar w:fldCharType="begin"/>
            </w:r>
            <w:r w:rsidR="00542176">
              <w:rPr>
                <w:noProof/>
                <w:webHidden/>
              </w:rPr>
              <w:instrText xml:space="preserve"> PAGEREF _Toc491088011 \h </w:instrText>
            </w:r>
            <w:r w:rsidR="00542176">
              <w:rPr>
                <w:noProof/>
                <w:webHidden/>
              </w:rPr>
            </w:r>
            <w:r w:rsidR="00542176">
              <w:rPr>
                <w:noProof/>
                <w:webHidden/>
              </w:rPr>
              <w:fldChar w:fldCharType="separate"/>
            </w:r>
            <w:r w:rsidR="00542176">
              <w:rPr>
                <w:noProof/>
                <w:webHidden/>
              </w:rPr>
              <w:t>12</w:t>
            </w:r>
            <w:r w:rsidR="00542176">
              <w:rPr>
                <w:noProof/>
                <w:webHidden/>
              </w:rPr>
              <w:fldChar w:fldCharType="end"/>
            </w:r>
          </w:hyperlink>
        </w:p>
        <w:p w14:paraId="33D8DA16" w14:textId="77777777" w:rsidR="00542176" w:rsidRDefault="004A591C">
          <w:pPr>
            <w:pStyle w:val="TOC3"/>
            <w:tabs>
              <w:tab w:val="right" w:leader="dot" w:pos="9061"/>
            </w:tabs>
            <w:rPr>
              <w:rFonts w:asciiTheme="minorHAnsi" w:eastAsiaTheme="minorEastAsia" w:hAnsiTheme="minorHAnsi" w:cstheme="minorBidi"/>
              <w:noProof/>
              <w:sz w:val="22"/>
              <w:lang w:eastAsia="lv-LV"/>
            </w:rPr>
          </w:pPr>
          <w:hyperlink w:anchor="_Toc491088012" w:history="1">
            <w:r w:rsidR="00542176" w:rsidRPr="00C64519">
              <w:rPr>
                <w:rStyle w:val="Hyperlink"/>
                <w:noProof/>
              </w:rPr>
              <w:t>3.2. Pretendentu un piedāvājumu atbilstības novērtēšana</w:t>
            </w:r>
            <w:r w:rsidR="00542176">
              <w:rPr>
                <w:noProof/>
                <w:webHidden/>
              </w:rPr>
              <w:tab/>
            </w:r>
            <w:r w:rsidR="00542176">
              <w:rPr>
                <w:noProof/>
                <w:webHidden/>
              </w:rPr>
              <w:fldChar w:fldCharType="begin"/>
            </w:r>
            <w:r w:rsidR="00542176">
              <w:rPr>
                <w:noProof/>
                <w:webHidden/>
              </w:rPr>
              <w:instrText xml:space="preserve"> PAGEREF _Toc491088012 \h </w:instrText>
            </w:r>
            <w:r w:rsidR="00542176">
              <w:rPr>
                <w:noProof/>
                <w:webHidden/>
              </w:rPr>
            </w:r>
            <w:r w:rsidR="00542176">
              <w:rPr>
                <w:noProof/>
                <w:webHidden/>
              </w:rPr>
              <w:fldChar w:fldCharType="separate"/>
            </w:r>
            <w:r w:rsidR="00542176">
              <w:rPr>
                <w:noProof/>
                <w:webHidden/>
              </w:rPr>
              <w:t>16</w:t>
            </w:r>
            <w:r w:rsidR="00542176">
              <w:rPr>
                <w:noProof/>
                <w:webHidden/>
              </w:rPr>
              <w:fldChar w:fldCharType="end"/>
            </w:r>
          </w:hyperlink>
        </w:p>
        <w:p w14:paraId="21335416" w14:textId="77777777" w:rsidR="00542176" w:rsidRDefault="004A591C">
          <w:pPr>
            <w:pStyle w:val="TOC3"/>
            <w:tabs>
              <w:tab w:val="right" w:leader="dot" w:pos="9061"/>
            </w:tabs>
            <w:rPr>
              <w:rFonts w:asciiTheme="minorHAnsi" w:eastAsiaTheme="minorEastAsia" w:hAnsiTheme="minorHAnsi" w:cstheme="minorBidi"/>
              <w:noProof/>
              <w:sz w:val="22"/>
              <w:lang w:eastAsia="lv-LV"/>
            </w:rPr>
          </w:pPr>
          <w:hyperlink w:anchor="_Toc491088013" w:history="1">
            <w:r w:rsidR="00542176" w:rsidRPr="00C64519">
              <w:rPr>
                <w:rStyle w:val="Hyperlink"/>
                <w:noProof/>
              </w:rPr>
              <w:t>3.3. Iepirkuma līguma noslēgšana un izpilde</w:t>
            </w:r>
            <w:r w:rsidR="00542176">
              <w:rPr>
                <w:noProof/>
                <w:webHidden/>
              </w:rPr>
              <w:tab/>
            </w:r>
            <w:r w:rsidR="00542176">
              <w:rPr>
                <w:noProof/>
                <w:webHidden/>
              </w:rPr>
              <w:fldChar w:fldCharType="begin"/>
            </w:r>
            <w:r w:rsidR="00542176">
              <w:rPr>
                <w:noProof/>
                <w:webHidden/>
              </w:rPr>
              <w:instrText xml:space="preserve"> PAGEREF _Toc491088013 \h </w:instrText>
            </w:r>
            <w:r w:rsidR="00542176">
              <w:rPr>
                <w:noProof/>
                <w:webHidden/>
              </w:rPr>
            </w:r>
            <w:r w:rsidR="00542176">
              <w:rPr>
                <w:noProof/>
                <w:webHidden/>
              </w:rPr>
              <w:fldChar w:fldCharType="separate"/>
            </w:r>
            <w:r w:rsidR="00542176">
              <w:rPr>
                <w:noProof/>
                <w:webHidden/>
              </w:rPr>
              <w:t>22</w:t>
            </w:r>
            <w:r w:rsidR="00542176">
              <w:rPr>
                <w:noProof/>
                <w:webHidden/>
              </w:rPr>
              <w:fldChar w:fldCharType="end"/>
            </w:r>
          </w:hyperlink>
        </w:p>
        <w:p w14:paraId="492D9E84" w14:textId="77777777" w:rsidR="00542176" w:rsidRDefault="004A591C">
          <w:pPr>
            <w:pStyle w:val="TOC3"/>
            <w:tabs>
              <w:tab w:val="right" w:leader="dot" w:pos="9061"/>
            </w:tabs>
            <w:rPr>
              <w:rFonts w:asciiTheme="minorHAnsi" w:eastAsiaTheme="minorEastAsia" w:hAnsiTheme="minorHAnsi" w:cstheme="minorBidi"/>
              <w:noProof/>
              <w:sz w:val="22"/>
              <w:lang w:eastAsia="lv-LV"/>
            </w:rPr>
          </w:pPr>
          <w:hyperlink w:anchor="_Toc491088014" w:history="1">
            <w:r w:rsidR="00542176" w:rsidRPr="00C64519">
              <w:rPr>
                <w:rStyle w:val="Hyperlink"/>
                <w:noProof/>
              </w:rPr>
              <w:t>3.4. Direktīvas piemērošanas izņēmumi</w:t>
            </w:r>
            <w:r w:rsidR="00542176">
              <w:rPr>
                <w:noProof/>
                <w:webHidden/>
              </w:rPr>
              <w:tab/>
            </w:r>
            <w:r w:rsidR="00542176">
              <w:rPr>
                <w:noProof/>
                <w:webHidden/>
              </w:rPr>
              <w:fldChar w:fldCharType="begin"/>
            </w:r>
            <w:r w:rsidR="00542176">
              <w:rPr>
                <w:noProof/>
                <w:webHidden/>
              </w:rPr>
              <w:instrText xml:space="preserve"> PAGEREF _Toc491088014 \h </w:instrText>
            </w:r>
            <w:r w:rsidR="00542176">
              <w:rPr>
                <w:noProof/>
                <w:webHidden/>
              </w:rPr>
            </w:r>
            <w:r w:rsidR="00542176">
              <w:rPr>
                <w:noProof/>
                <w:webHidden/>
              </w:rPr>
              <w:fldChar w:fldCharType="separate"/>
            </w:r>
            <w:r w:rsidR="00542176">
              <w:rPr>
                <w:noProof/>
                <w:webHidden/>
              </w:rPr>
              <w:t>24</w:t>
            </w:r>
            <w:r w:rsidR="00542176">
              <w:rPr>
                <w:noProof/>
                <w:webHidden/>
              </w:rPr>
              <w:fldChar w:fldCharType="end"/>
            </w:r>
          </w:hyperlink>
        </w:p>
        <w:p w14:paraId="76271593" w14:textId="77777777" w:rsidR="00542176" w:rsidRDefault="004A591C" w:rsidP="00876957">
          <w:pPr>
            <w:pStyle w:val="TOC2"/>
            <w:rPr>
              <w:rFonts w:asciiTheme="minorHAnsi" w:eastAsiaTheme="minorEastAsia" w:hAnsiTheme="minorHAnsi" w:cstheme="minorBidi"/>
              <w:sz w:val="22"/>
              <w:lang w:eastAsia="lv-LV"/>
            </w:rPr>
          </w:pPr>
          <w:hyperlink w:anchor="_Toc491088015" w:history="1">
            <w:r w:rsidR="00542176" w:rsidRPr="00C64519">
              <w:rPr>
                <w:rStyle w:val="Hyperlink"/>
              </w:rPr>
              <w:t>Izmantoto nolēmumu saraksts</w:t>
            </w:r>
            <w:r w:rsidR="00542176">
              <w:rPr>
                <w:webHidden/>
              </w:rPr>
              <w:tab/>
            </w:r>
            <w:r w:rsidR="00542176">
              <w:rPr>
                <w:webHidden/>
              </w:rPr>
              <w:fldChar w:fldCharType="begin"/>
            </w:r>
            <w:r w:rsidR="00542176">
              <w:rPr>
                <w:webHidden/>
              </w:rPr>
              <w:instrText xml:space="preserve"> PAGEREF _Toc491088015 \h </w:instrText>
            </w:r>
            <w:r w:rsidR="00542176">
              <w:rPr>
                <w:webHidden/>
              </w:rPr>
            </w:r>
            <w:r w:rsidR="00542176">
              <w:rPr>
                <w:webHidden/>
              </w:rPr>
              <w:fldChar w:fldCharType="separate"/>
            </w:r>
            <w:r w:rsidR="00542176">
              <w:rPr>
                <w:webHidden/>
              </w:rPr>
              <w:t>29</w:t>
            </w:r>
            <w:r w:rsidR="00542176">
              <w:rPr>
                <w:webHidden/>
              </w:rPr>
              <w:fldChar w:fldCharType="end"/>
            </w:r>
          </w:hyperlink>
        </w:p>
        <w:p w14:paraId="274648ED" w14:textId="77777777" w:rsidR="00142A23" w:rsidRDefault="00142A23">
          <w:r>
            <w:fldChar w:fldCharType="end"/>
          </w:r>
        </w:p>
      </w:sdtContent>
    </w:sdt>
    <w:p w14:paraId="4E687D52" w14:textId="77777777" w:rsidR="008C10F0" w:rsidRDefault="00142A23">
      <w:pPr>
        <w:spacing w:after="160" w:line="259" w:lineRule="auto"/>
        <w:rPr>
          <w:rFonts w:eastAsiaTheme="majorEastAsia" w:cstheme="majorBidi"/>
          <w:b/>
          <w:caps/>
          <w:sz w:val="28"/>
          <w:szCs w:val="32"/>
        </w:rPr>
      </w:pPr>
      <w:r>
        <w:rPr>
          <w:rFonts w:eastAsiaTheme="majorEastAsia" w:cstheme="majorBidi"/>
          <w:b/>
          <w:caps/>
          <w:sz w:val="28"/>
          <w:szCs w:val="32"/>
        </w:rPr>
        <w:br w:type="page"/>
      </w:r>
    </w:p>
    <w:p w14:paraId="37277AA5" w14:textId="77777777" w:rsidR="00B2099C" w:rsidRDefault="00B2099C" w:rsidP="0005441B">
      <w:pPr>
        <w:pStyle w:val="Heading2"/>
        <w:numPr>
          <w:ilvl w:val="0"/>
          <w:numId w:val="0"/>
        </w:numPr>
        <w:ind w:left="360"/>
      </w:pPr>
      <w:bookmarkStart w:id="2" w:name="_Toc456865568"/>
      <w:bookmarkStart w:id="3" w:name="_Toc466374374"/>
      <w:bookmarkStart w:id="4" w:name="_Toc491088005"/>
      <w:r w:rsidRPr="00BD72B0">
        <w:lastRenderedPageBreak/>
        <w:t>Izmantoto saīsinājumu saraksts</w:t>
      </w:r>
      <w:bookmarkEnd w:id="2"/>
      <w:bookmarkEnd w:id="3"/>
      <w:bookmarkEnd w:id="4"/>
    </w:p>
    <w:p w14:paraId="391EF4C8" w14:textId="77777777" w:rsidR="0005441B" w:rsidRPr="0005441B" w:rsidRDefault="0005441B" w:rsidP="0005441B"/>
    <w:tbl>
      <w:tblPr>
        <w:tblW w:w="0" w:type="auto"/>
        <w:tblBorders>
          <w:insideH w:val="single" w:sz="4" w:space="0" w:color="auto"/>
          <w:insideV w:val="single" w:sz="4" w:space="0" w:color="auto"/>
        </w:tblBorders>
        <w:tblLook w:val="01E0" w:firstRow="1" w:lastRow="1" w:firstColumn="1" w:lastColumn="1" w:noHBand="0" w:noVBand="0"/>
      </w:tblPr>
      <w:tblGrid>
        <w:gridCol w:w="2110"/>
        <w:gridCol w:w="6412"/>
      </w:tblGrid>
      <w:tr w:rsidR="00B2099C" w:rsidRPr="006F63ED" w14:paraId="38DE5EE5" w14:textId="77777777" w:rsidTr="00F73FFD">
        <w:tc>
          <w:tcPr>
            <w:tcW w:w="2110" w:type="dxa"/>
          </w:tcPr>
          <w:p w14:paraId="0098E9E8" w14:textId="5EC0C1A0" w:rsidR="00B2099C" w:rsidRPr="00BD72B0" w:rsidRDefault="006B081C" w:rsidP="00F73FFD">
            <w:pPr>
              <w:spacing w:after="120" w:line="240" w:lineRule="auto"/>
              <w:rPr>
                <w:rFonts w:eastAsia="Times New Roman" w:cs="Arial"/>
                <w:szCs w:val="20"/>
              </w:rPr>
            </w:pPr>
            <w:r>
              <w:t>Direktīva 2004/18</w:t>
            </w:r>
          </w:p>
        </w:tc>
        <w:tc>
          <w:tcPr>
            <w:tcW w:w="6412" w:type="dxa"/>
          </w:tcPr>
          <w:p w14:paraId="05521438" w14:textId="2F42DF74" w:rsidR="00B2099C" w:rsidRPr="006B081C" w:rsidRDefault="006B081C" w:rsidP="00F73FFD">
            <w:pPr>
              <w:pStyle w:val="NormalWeb"/>
              <w:spacing w:before="0" w:beforeAutospacing="0" w:after="120" w:afterAutospacing="0"/>
              <w:jc w:val="both"/>
              <w:rPr>
                <w:rFonts w:cs="Arial"/>
                <w:szCs w:val="20"/>
                <w:lang w:val="lv-LV"/>
              </w:rPr>
            </w:pPr>
            <w:r w:rsidRPr="006B081C">
              <w:rPr>
                <w:lang w:val="lv-LV"/>
              </w:rPr>
              <w:t>Eiropas Parlamenta un Padom</w:t>
            </w:r>
            <w:r w:rsidR="00C51518">
              <w:rPr>
                <w:lang w:val="lv-LV"/>
              </w:rPr>
              <w:t>es 2004.gada 31.marta Direktīva</w:t>
            </w:r>
            <w:r w:rsidRPr="006B081C">
              <w:rPr>
                <w:lang w:val="lv-LV"/>
              </w:rPr>
              <w:t xml:space="preserve"> 2004/18/EK par to, kā koordinēt būvdarbu valsts līgumu, piegādes valsts līgumu un pakalpojumu valsts līgumu slēgšanas tiesību piešķiršanas procedūru</w:t>
            </w:r>
          </w:p>
        </w:tc>
      </w:tr>
      <w:tr w:rsidR="00B2099C" w:rsidRPr="006F63ED" w14:paraId="4FE4EC93" w14:textId="77777777" w:rsidTr="00F73FFD">
        <w:tc>
          <w:tcPr>
            <w:tcW w:w="2110" w:type="dxa"/>
          </w:tcPr>
          <w:p w14:paraId="45EB3F28" w14:textId="0ECD2959" w:rsidR="00B2099C" w:rsidRPr="00BD72B0" w:rsidRDefault="00225061" w:rsidP="00F73FFD">
            <w:pPr>
              <w:spacing w:after="120" w:line="240" w:lineRule="auto"/>
              <w:rPr>
                <w:rFonts w:eastAsia="Times New Roman" w:cs="Arial"/>
                <w:szCs w:val="20"/>
              </w:rPr>
            </w:pPr>
            <w:r w:rsidRPr="00225061">
              <w:t>Direktīva 89/665</w:t>
            </w:r>
          </w:p>
        </w:tc>
        <w:tc>
          <w:tcPr>
            <w:tcW w:w="6412" w:type="dxa"/>
          </w:tcPr>
          <w:p w14:paraId="6CE2B274" w14:textId="2FCE1559" w:rsidR="00B2099C" w:rsidRPr="00BD72B0" w:rsidRDefault="00225061" w:rsidP="00225061">
            <w:pPr>
              <w:spacing w:after="120" w:line="240" w:lineRule="auto"/>
              <w:jc w:val="both"/>
              <w:rPr>
                <w:rFonts w:eastAsia="Times New Roman" w:cs="Arial"/>
                <w:szCs w:val="20"/>
              </w:rPr>
            </w:pPr>
            <w:r w:rsidRPr="00225061">
              <w:t>Padomes</w:t>
            </w:r>
            <w:r w:rsidR="00C51518">
              <w:t xml:space="preserve"> 1989.gada 21.decembra Direktīva</w:t>
            </w:r>
            <w:r w:rsidRPr="00225061">
              <w:t xml:space="preserve"> 89/665/EEK par to normatīvo un administratīvo aktu koordinēšanu, kuri attiecas uz izskatīšanas procedūru piemērošanu, piešķirot piegādes un uzņēmuma līgumus valsts vajadzībām </w:t>
            </w:r>
          </w:p>
        </w:tc>
      </w:tr>
      <w:tr w:rsidR="00B2099C" w:rsidRPr="006F63ED" w14:paraId="1BB4CD3D" w14:textId="77777777" w:rsidTr="00F73FFD">
        <w:tc>
          <w:tcPr>
            <w:tcW w:w="2110" w:type="dxa"/>
          </w:tcPr>
          <w:p w14:paraId="1C54948D" w14:textId="750AC811" w:rsidR="00B2099C" w:rsidRPr="00BD72B0" w:rsidRDefault="00AA3633" w:rsidP="00F73FFD">
            <w:pPr>
              <w:spacing w:after="120" w:line="240" w:lineRule="auto"/>
              <w:rPr>
                <w:rFonts w:eastAsia="Times New Roman" w:cs="Arial"/>
                <w:szCs w:val="20"/>
              </w:rPr>
            </w:pPr>
            <w:r w:rsidRPr="00071F1F">
              <w:t>Direktīva 2014/24</w:t>
            </w:r>
          </w:p>
        </w:tc>
        <w:tc>
          <w:tcPr>
            <w:tcW w:w="6412" w:type="dxa"/>
          </w:tcPr>
          <w:p w14:paraId="73D3B432" w14:textId="558F4E23" w:rsidR="00B2099C" w:rsidRPr="00BD72B0" w:rsidRDefault="00AA3633" w:rsidP="00AA3633">
            <w:pPr>
              <w:spacing w:after="120" w:line="240" w:lineRule="auto"/>
              <w:jc w:val="both"/>
              <w:rPr>
                <w:rFonts w:eastAsia="Times New Roman" w:cs="Arial"/>
                <w:szCs w:val="20"/>
              </w:rPr>
            </w:pPr>
            <w:r w:rsidRPr="00AA3633">
              <w:rPr>
                <w:rFonts w:eastAsia="Times New Roman" w:cs="Arial"/>
                <w:szCs w:val="20"/>
              </w:rPr>
              <w:t xml:space="preserve">Eiropas Parlamenta un Padomes </w:t>
            </w:r>
            <w:r>
              <w:rPr>
                <w:rFonts w:eastAsia="Times New Roman" w:cs="Arial"/>
                <w:szCs w:val="20"/>
              </w:rPr>
              <w:t xml:space="preserve">2014.gada 26.februāra </w:t>
            </w:r>
            <w:r w:rsidRPr="00AA3633">
              <w:rPr>
                <w:rFonts w:eastAsia="Times New Roman" w:cs="Arial"/>
                <w:szCs w:val="20"/>
              </w:rPr>
              <w:t>Direktīva 2014/24/ES par publisko iepirkumu un ar ko atceļ Direktīvu 2004/18/EK</w:t>
            </w:r>
          </w:p>
        </w:tc>
      </w:tr>
      <w:tr w:rsidR="00AA3633" w:rsidRPr="006F63ED" w14:paraId="1ECC4CC0" w14:textId="77777777" w:rsidTr="00F73FFD">
        <w:tc>
          <w:tcPr>
            <w:tcW w:w="2110" w:type="dxa"/>
          </w:tcPr>
          <w:p w14:paraId="58921F0A" w14:textId="6870905B" w:rsidR="00AA3633" w:rsidRPr="00071F1F" w:rsidRDefault="00AA3633" w:rsidP="00F73FFD">
            <w:pPr>
              <w:spacing w:after="120" w:line="240" w:lineRule="auto"/>
            </w:pPr>
            <w:r w:rsidRPr="00071F1F">
              <w:t>Direktīva 2014/23</w:t>
            </w:r>
          </w:p>
        </w:tc>
        <w:tc>
          <w:tcPr>
            <w:tcW w:w="6412" w:type="dxa"/>
          </w:tcPr>
          <w:p w14:paraId="78BDA769" w14:textId="093DBDAB" w:rsidR="00AA3633" w:rsidRPr="00BD72B0" w:rsidRDefault="00115EF4" w:rsidP="00115EF4">
            <w:pPr>
              <w:spacing w:after="120" w:line="240" w:lineRule="auto"/>
              <w:jc w:val="both"/>
              <w:rPr>
                <w:rFonts w:eastAsia="Times New Roman" w:cs="Arial"/>
                <w:szCs w:val="20"/>
              </w:rPr>
            </w:pPr>
            <w:r w:rsidRPr="00AA3633">
              <w:rPr>
                <w:rFonts w:eastAsia="Times New Roman" w:cs="Arial"/>
                <w:szCs w:val="20"/>
              </w:rPr>
              <w:t>Eiropas Parlamenta un Padomes</w:t>
            </w:r>
            <w:r w:rsidRPr="00115EF4">
              <w:rPr>
                <w:rFonts w:eastAsia="Times New Roman" w:cs="Arial"/>
                <w:szCs w:val="20"/>
              </w:rPr>
              <w:t xml:space="preserve"> </w:t>
            </w:r>
            <w:r>
              <w:rPr>
                <w:rFonts w:eastAsia="Times New Roman" w:cs="Arial"/>
                <w:szCs w:val="20"/>
              </w:rPr>
              <w:t>2014.gada 26.</w:t>
            </w:r>
            <w:r w:rsidRPr="00115EF4">
              <w:rPr>
                <w:rFonts w:eastAsia="Times New Roman" w:cs="Arial"/>
                <w:szCs w:val="20"/>
              </w:rPr>
              <w:t>f</w:t>
            </w:r>
            <w:r>
              <w:rPr>
                <w:rFonts w:eastAsia="Times New Roman" w:cs="Arial"/>
                <w:szCs w:val="20"/>
              </w:rPr>
              <w:t xml:space="preserve">ebruāra Direktīva </w:t>
            </w:r>
            <w:r w:rsidRPr="00115EF4">
              <w:rPr>
                <w:rFonts w:eastAsia="Times New Roman" w:cs="Arial"/>
                <w:szCs w:val="20"/>
              </w:rPr>
              <w:t>2014/23/ES</w:t>
            </w:r>
            <w:r>
              <w:rPr>
                <w:rFonts w:eastAsia="Times New Roman" w:cs="Arial"/>
                <w:szCs w:val="20"/>
              </w:rPr>
              <w:t xml:space="preserve"> </w:t>
            </w:r>
            <w:r w:rsidRPr="00115EF4">
              <w:rPr>
                <w:rFonts w:eastAsia="Times New Roman" w:cs="Arial"/>
                <w:szCs w:val="20"/>
              </w:rPr>
              <w:t>par koncesijas līgumu slēgšanas tiesību piešķiršanu</w:t>
            </w:r>
          </w:p>
        </w:tc>
      </w:tr>
      <w:tr w:rsidR="00B2099C" w:rsidRPr="006F63ED" w14:paraId="793F2825" w14:textId="77777777" w:rsidTr="00F73FFD">
        <w:tc>
          <w:tcPr>
            <w:tcW w:w="2110" w:type="dxa"/>
          </w:tcPr>
          <w:p w14:paraId="0232665F" w14:textId="7A4C9BAD" w:rsidR="00B2099C" w:rsidRDefault="00AA3633" w:rsidP="00F73FFD">
            <w:pPr>
              <w:spacing w:after="120" w:line="240" w:lineRule="auto"/>
              <w:rPr>
                <w:rFonts w:eastAsia="Times New Roman" w:cs="Arial"/>
                <w:szCs w:val="20"/>
              </w:rPr>
            </w:pPr>
            <w:r>
              <w:rPr>
                <w:rFonts w:eastAsia="Times New Roman" w:cs="Arial"/>
                <w:szCs w:val="20"/>
              </w:rPr>
              <w:t>LES</w:t>
            </w:r>
          </w:p>
        </w:tc>
        <w:tc>
          <w:tcPr>
            <w:tcW w:w="6412" w:type="dxa"/>
          </w:tcPr>
          <w:p w14:paraId="628DE961" w14:textId="191CFB3F" w:rsidR="00B2099C" w:rsidRPr="001D2FF9" w:rsidRDefault="001363E8" w:rsidP="00F73FFD">
            <w:pPr>
              <w:spacing w:after="120" w:line="240" w:lineRule="auto"/>
            </w:pPr>
            <w:r>
              <w:t>Līgums</w:t>
            </w:r>
            <w:r w:rsidR="00AA3633">
              <w:t xml:space="preserve"> par Eiropas Savienību</w:t>
            </w:r>
          </w:p>
        </w:tc>
      </w:tr>
    </w:tbl>
    <w:p w14:paraId="5DA28960" w14:textId="4D3DF714" w:rsidR="00B2099C" w:rsidRDefault="00B2099C">
      <w:pPr>
        <w:spacing w:after="160" w:line="259" w:lineRule="auto"/>
        <w:rPr>
          <w:rFonts w:eastAsiaTheme="majorEastAsia" w:cstheme="majorBidi"/>
          <w:b/>
          <w:caps/>
          <w:sz w:val="28"/>
          <w:szCs w:val="32"/>
        </w:rPr>
      </w:pPr>
    </w:p>
    <w:p w14:paraId="5D3C9D18" w14:textId="77777777" w:rsidR="00B2099C" w:rsidRDefault="00B2099C">
      <w:pPr>
        <w:spacing w:after="160" w:line="259" w:lineRule="auto"/>
        <w:rPr>
          <w:rFonts w:eastAsiaTheme="majorEastAsia" w:cstheme="majorBidi"/>
          <w:b/>
          <w:caps/>
          <w:sz w:val="28"/>
          <w:szCs w:val="32"/>
        </w:rPr>
      </w:pPr>
      <w:r>
        <w:rPr>
          <w:rFonts w:eastAsiaTheme="majorEastAsia" w:cstheme="majorBidi"/>
          <w:b/>
          <w:caps/>
          <w:sz w:val="28"/>
          <w:szCs w:val="32"/>
        </w:rPr>
        <w:br w:type="page"/>
      </w:r>
    </w:p>
    <w:p w14:paraId="5D602A27" w14:textId="77777777" w:rsidR="00B2099C" w:rsidRDefault="00B2099C">
      <w:pPr>
        <w:spacing w:after="160" w:line="259" w:lineRule="auto"/>
        <w:rPr>
          <w:rFonts w:eastAsiaTheme="majorEastAsia" w:cstheme="majorBidi"/>
          <w:b/>
          <w:caps/>
          <w:sz w:val="28"/>
          <w:szCs w:val="32"/>
        </w:rPr>
      </w:pPr>
    </w:p>
    <w:p w14:paraId="199C88BC" w14:textId="77777777" w:rsidR="00EB575E" w:rsidRPr="00242A56" w:rsidRDefault="00EB575E" w:rsidP="008C10F0">
      <w:pPr>
        <w:pStyle w:val="Heading2"/>
        <w:numPr>
          <w:ilvl w:val="0"/>
          <w:numId w:val="0"/>
        </w:numPr>
        <w:ind w:left="360"/>
      </w:pPr>
      <w:bookmarkStart w:id="5" w:name="_Toc491088006"/>
      <w:r w:rsidRPr="00242A56">
        <w:t>Ievads</w:t>
      </w:r>
      <w:bookmarkEnd w:id="1"/>
      <w:bookmarkEnd w:id="5"/>
    </w:p>
    <w:p w14:paraId="253654E3" w14:textId="77777777" w:rsidR="00EB575E" w:rsidRDefault="00EB575E" w:rsidP="00270EB6">
      <w:pPr>
        <w:spacing w:after="0"/>
        <w:ind w:firstLine="567"/>
        <w:jc w:val="both"/>
        <w:rPr>
          <w:szCs w:val="24"/>
        </w:rPr>
      </w:pPr>
    </w:p>
    <w:p w14:paraId="306351F9" w14:textId="75FDB609" w:rsidR="00EB575E" w:rsidRDefault="00EB575E" w:rsidP="00EF748D">
      <w:pPr>
        <w:spacing w:after="0"/>
        <w:ind w:firstLine="720"/>
        <w:jc w:val="both"/>
        <w:rPr>
          <w:szCs w:val="24"/>
        </w:rPr>
      </w:pPr>
      <w:r>
        <w:rPr>
          <w:szCs w:val="24"/>
        </w:rPr>
        <w:t xml:space="preserve">Prakses apkopojuma mērķis ir strukturēti apkopot </w:t>
      </w:r>
      <w:r w:rsidR="00875F89">
        <w:rPr>
          <w:szCs w:val="24"/>
        </w:rPr>
        <w:t xml:space="preserve">nozīmīgākās </w:t>
      </w:r>
      <w:r w:rsidR="006F1DD6">
        <w:rPr>
          <w:szCs w:val="24"/>
        </w:rPr>
        <w:t xml:space="preserve">Eiropas Savienības Tiesas </w:t>
      </w:r>
      <w:r w:rsidR="0046668C">
        <w:rPr>
          <w:szCs w:val="24"/>
        </w:rPr>
        <w:t xml:space="preserve">2016.gada un 2017.gada pirmā </w:t>
      </w:r>
      <w:r w:rsidR="006A754F">
        <w:rPr>
          <w:szCs w:val="24"/>
        </w:rPr>
        <w:t>pusgada</w:t>
      </w:r>
      <w:r w:rsidR="0046668C">
        <w:rPr>
          <w:szCs w:val="24"/>
        </w:rPr>
        <w:t xml:space="preserve"> </w:t>
      </w:r>
      <w:r w:rsidR="006F1DD6">
        <w:rPr>
          <w:szCs w:val="24"/>
        </w:rPr>
        <w:t>spriedumu</w:t>
      </w:r>
      <w:r>
        <w:rPr>
          <w:szCs w:val="24"/>
        </w:rPr>
        <w:t xml:space="preserve"> atziņas un prakses piemērus publisko iepirkumu lietās, ļaujot interesentiem vienuviet iepazīties ar aktuālo tiesas praksi un tādējādi palīdzot vienveidot publisko iepirkumu tiesību normu izpratni un piemērošanu.</w:t>
      </w:r>
      <w:r w:rsidR="00360A44">
        <w:rPr>
          <w:szCs w:val="24"/>
        </w:rPr>
        <w:t xml:space="preserve"> </w:t>
      </w:r>
      <w:r w:rsidR="006E79AA">
        <w:rPr>
          <w:szCs w:val="24"/>
        </w:rPr>
        <w:t xml:space="preserve">2016.gada un 2017.gada </w:t>
      </w:r>
      <w:r w:rsidR="00180072">
        <w:rPr>
          <w:szCs w:val="24"/>
        </w:rPr>
        <w:t xml:space="preserve">spriedumiem pievienoti </w:t>
      </w:r>
      <w:r w:rsidR="002A7063">
        <w:rPr>
          <w:szCs w:val="24"/>
        </w:rPr>
        <w:t xml:space="preserve">klāt </w:t>
      </w:r>
      <w:r w:rsidR="00180072">
        <w:rPr>
          <w:szCs w:val="24"/>
        </w:rPr>
        <w:t xml:space="preserve">arī vecāki spriedumi, kas ir saistīti ar to pašu tiesību problēmjautājumu. </w:t>
      </w:r>
    </w:p>
    <w:p w14:paraId="6AFB07E6" w14:textId="6C16EF40" w:rsidR="00D11D79" w:rsidRDefault="00D11D79" w:rsidP="00EF748D">
      <w:pPr>
        <w:spacing w:after="0"/>
        <w:ind w:firstLine="720"/>
        <w:jc w:val="both"/>
        <w:rPr>
          <w:szCs w:val="24"/>
        </w:rPr>
      </w:pPr>
      <w:r>
        <w:rPr>
          <w:szCs w:val="24"/>
        </w:rPr>
        <w:t xml:space="preserve">Šis apkopojums </w:t>
      </w:r>
      <w:r w:rsidR="00CF3E7D">
        <w:rPr>
          <w:szCs w:val="24"/>
        </w:rPr>
        <w:t xml:space="preserve">ir </w:t>
      </w:r>
      <w:r w:rsidR="00EE29EB">
        <w:rPr>
          <w:szCs w:val="24"/>
        </w:rPr>
        <w:t xml:space="preserve">papildinājums </w:t>
      </w:r>
      <w:r w:rsidR="00E323ED">
        <w:rPr>
          <w:szCs w:val="24"/>
        </w:rPr>
        <w:t xml:space="preserve">Augstākās tiesas </w:t>
      </w:r>
      <w:r w:rsidR="006C3AC4">
        <w:rPr>
          <w:szCs w:val="24"/>
        </w:rPr>
        <w:t xml:space="preserve">2017.gada </w:t>
      </w:r>
      <w:r w:rsidR="00E323ED">
        <w:rPr>
          <w:szCs w:val="24"/>
        </w:rPr>
        <w:t>prakses apkopojumam publisko iepirkumu jom</w:t>
      </w:r>
      <w:r w:rsidR="006C3AC4">
        <w:rPr>
          <w:szCs w:val="24"/>
        </w:rPr>
        <w:t xml:space="preserve">ā, maksimāli saglabājot tādu pašu struktūru. </w:t>
      </w:r>
      <w:r w:rsidR="00AB70B4">
        <w:rPr>
          <w:szCs w:val="24"/>
        </w:rPr>
        <w:t xml:space="preserve">Apkopojumā atsevišķi nodalīti publisko iepirkumu lietu izskatīšanas procesuālie aspekti un materiāltiesiskie aspekti. </w:t>
      </w:r>
    </w:p>
    <w:p w14:paraId="3DB4E5F0" w14:textId="5955B7AD" w:rsidR="00601821" w:rsidRDefault="00C521AA" w:rsidP="00C521AA">
      <w:pPr>
        <w:spacing w:after="160" w:line="259" w:lineRule="auto"/>
        <w:jc w:val="both"/>
        <w:rPr>
          <w:szCs w:val="24"/>
        </w:rPr>
      </w:pPr>
      <w:r>
        <w:rPr>
          <w:szCs w:val="24"/>
        </w:rPr>
        <w:tab/>
      </w:r>
      <w:r w:rsidRPr="00C521AA">
        <w:rPr>
          <w:szCs w:val="24"/>
        </w:rPr>
        <w:t xml:space="preserve">Jebkura apkopojumā paustā atziņa ir aplūkojama kopsakarā ar attiecīgo </w:t>
      </w:r>
      <w:r>
        <w:rPr>
          <w:szCs w:val="24"/>
        </w:rPr>
        <w:t>Eiropas Savienības Tiesas spriedumu</w:t>
      </w:r>
      <w:r w:rsidRPr="00C521AA">
        <w:rPr>
          <w:szCs w:val="24"/>
        </w:rPr>
        <w:t xml:space="preserve">. </w:t>
      </w:r>
      <w:r w:rsidR="00601821">
        <w:rPr>
          <w:szCs w:val="24"/>
        </w:rPr>
        <w:br w:type="page"/>
      </w:r>
    </w:p>
    <w:p w14:paraId="5FE5FA75" w14:textId="77777777" w:rsidR="00EB575E" w:rsidRPr="00EB575E" w:rsidRDefault="00EB575E" w:rsidP="00146FF3">
      <w:pPr>
        <w:pStyle w:val="Heading2"/>
      </w:pPr>
      <w:bookmarkStart w:id="6" w:name="_Toc486596095"/>
      <w:bookmarkStart w:id="7" w:name="_Toc491088007"/>
      <w:r w:rsidRPr="00146FF3">
        <w:lastRenderedPageBreak/>
        <w:t>Tiesiskais</w:t>
      </w:r>
      <w:r w:rsidRPr="00EB575E">
        <w:t xml:space="preserve"> regulējums un principi</w:t>
      </w:r>
      <w:bookmarkEnd w:id="6"/>
      <w:bookmarkEnd w:id="7"/>
    </w:p>
    <w:p w14:paraId="14C64548" w14:textId="77777777" w:rsidR="00C5637A" w:rsidRDefault="00C5637A" w:rsidP="00270EB6">
      <w:pPr>
        <w:spacing w:after="0"/>
        <w:jc w:val="both"/>
        <w:rPr>
          <w:szCs w:val="24"/>
        </w:rPr>
      </w:pPr>
    </w:p>
    <w:p w14:paraId="1BEB30AA" w14:textId="7ED5BBC8" w:rsidR="00A041B4" w:rsidRDefault="00713AC9" w:rsidP="00A1588C">
      <w:pPr>
        <w:spacing w:after="0"/>
        <w:ind w:firstLine="567"/>
        <w:jc w:val="both"/>
        <w:rPr>
          <w:b/>
          <w:color w:val="000000"/>
        </w:rPr>
      </w:pPr>
      <w:r w:rsidRPr="00713AC9">
        <w:rPr>
          <w:b/>
          <w:color w:val="000000"/>
        </w:rPr>
        <w:t>Pienākums nodrošināt citas dalībvalsts komersanta aizsardzību</w:t>
      </w:r>
    </w:p>
    <w:p w14:paraId="1676F4E9" w14:textId="75828DFC" w:rsidR="00A36A87" w:rsidRPr="005A5292" w:rsidRDefault="005A5292" w:rsidP="005A5292">
      <w:pPr>
        <w:spacing w:after="0"/>
        <w:ind w:firstLine="567"/>
        <w:jc w:val="both"/>
      </w:pPr>
      <w:r>
        <w:t>Direktīva</w:t>
      </w:r>
      <w:r w:rsidR="00AB18FA">
        <w:t>s 2004/18</w:t>
      </w:r>
      <w:r>
        <w:t xml:space="preserve"> </w:t>
      </w:r>
      <w:r w:rsidR="00DF2368" w:rsidRPr="00491E28">
        <w:rPr>
          <w:color w:val="000000"/>
        </w:rPr>
        <w:t>noteikumi ir jāinterpretē atbilstoši L</w:t>
      </w:r>
      <w:r w:rsidR="001353AD">
        <w:rPr>
          <w:color w:val="000000"/>
        </w:rPr>
        <w:t xml:space="preserve">īguma par Eiropas Savienības darbību </w:t>
      </w:r>
      <w:r w:rsidR="00DF2368" w:rsidRPr="00491E28">
        <w:rPr>
          <w:color w:val="000000"/>
        </w:rPr>
        <w:t>principiem, it īpaši brīvas preču aprites, brīvas uzņēmējdarbības veikšanas un brīvas pakalpojumu aprites principiem, kā arī no tiem izrietošiem principiem, piemēram, vienlīdzīgas attieksmes, nediskriminācijas, savstarpējas atzīšanas, samērīguma un pārskatāmības principiem, kuri jāievēro dalībvalstīs veiktajā publiskajā iepirkumā.</w:t>
      </w:r>
    </w:p>
    <w:p w14:paraId="4ECE34E4" w14:textId="0ACA4BA6" w:rsidR="00A041B4" w:rsidRDefault="00CE5BF1" w:rsidP="00A1588C">
      <w:pPr>
        <w:spacing w:after="0"/>
        <w:ind w:firstLine="567"/>
        <w:jc w:val="both"/>
        <w:rPr>
          <w:color w:val="000000"/>
        </w:rPr>
      </w:pPr>
      <w:r>
        <w:rPr>
          <w:color w:val="000000"/>
        </w:rPr>
        <w:t>P</w:t>
      </w:r>
      <w:r w:rsidR="00A041B4" w:rsidRPr="00A041B4">
        <w:rPr>
          <w:color w:val="000000"/>
        </w:rPr>
        <w:t xml:space="preserve">ubliskā iepirkuma procedūru koordinēšanas </w:t>
      </w:r>
      <w:r w:rsidR="006F5810">
        <w:rPr>
          <w:color w:val="000000"/>
        </w:rPr>
        <w:t xml:space="preserve">Eiropas </w:t>
      </w:r>
      <w:r w:rsidR="00A041B4" w:rsidRPr="00A041B4">
        <w:rPr>
          <w:color w:val="000000"/>
        </w:rPr>
        <w:t>Savienības līmenī mērķis tādējādi ir aizsargāt tādu vienā dalībvalstī reģistrētu saimnieciskās darbības subjektu intereses, kuri vēlas piedāvāt preces vai pakalpojumus citā dalībvalstī reģistrētām līgumslēdzējām iestādēm</w:t>
      </w:r>
      <w:r w:rsidR="00370777">
        <w:rPr>
          <w:color w:val="000000"/>
        </w:rPr>
        <w:t>.</w:t>
      </w:r>
      <w:r w:rsidR="00A041B4" w:rsidRPr="00A041B4">
        <w:rPr>
          <w:color w:val="000000"/>
        </w:rPr>
        <w:t xml:space="preserve"> Direktīvas 2004/18 mērķis ir izslēgt jebkuru risku, ka, piešķirot publiska līguma slēgšanas tiesības, līgumslēdzējas iestādes dotu priekšroku valsts kandidātiem.</w:t>
      </w:r>
      <w:r w:rsidR="00670E8D">
        <w:rPr>
          <w:rStyle w:val="FootnoteReference"/>
          <w:color w:val="000000"/>
        </w:rPr>
        <w:footnoteReference w:id="1"/>
      </w:r>
    </w:p>
    <w:p w14:paraId="15A8F8F1" w14:textId="77777777" w:rsidR="00A041B4" w:rsidRDefault="00A041B4" w:rsidP="00A1588C">
      <w:pPr>
        <w:spacing w:after="0"/>
        <w:ind w:firstLine="567"/>
        <w:jc w:val="both"/>
        <w:rPr>
          <w:color w:val="000000"/>
        </w:rPr>
      </w:pPr>
    </w:p>
    <w:p w14:paraId="08FEEEEB" w14:textId="77777777" w:rsidR="00DD785B" w:rsidRDefault="00DD785B" w:rsidP="00A1588C">
      <w:pPr>
        <w:spacing w:after="0"/>
        <w:ind w:firstLine="567"/>
        <w:jc w:val="both"/>
        <w:rPr>
          <w:color w:val="000000"/>
        </w:rPr>
      </w:pPr>
    </w:p>
    <w:p w14:paraId="25DC1211" w14:textId="33EC90BF" w:rsidR="0015790A" w:rsidRPr="0015790A" w:rsidRDefault="0015790A" w:rsidP="00A1588C">
      <w:pPr>
        <w:spacing w:after="0"/>
        <w:ind w:firstLine="567"/>
        <w:jc w:val="both"/>
        <w:rPr>
          <w:b/>
          <w:color w:val="000000"/>
        </w:rPr>
      </w:pPr>
      <w:r w:rsidRPr="0015790A">
        <w:rPr>
          <w:b/>
          <w:color w:val="000000"/>
        </w:rPr>
        <w:t>Direktīvu piemērošana laikā</w:t>
      </w:r>
    </w:p>
    <w:p w14:paraId="06ADDA5D" w14:textId="77777777" w:rsidR="0015790A" w:rsidRDefault="0015790A" w:rsidP="00A1588C">
      <w:pPr>
        <w:spacing w:after="0"/>
        <w:ind w:firstLine="567"/>
        <w:jc w:val="both"/>
        <w:rPr>
          <w:color w:val="000000"/>
        </w:rPr>
      </w:pPr>
    </w:p>
    <w:p w14:paraId="20CAFDAF" w14:textId="48941DC5" w:rsidR="000E3689" w:rsidRPr="00280689" w:rsidRDefault="00D06036" w:rsidP="00A1588C">
      <w:pPr>
        <w:spacing w:after="0"/>
        <w:ind w:firstLine="567"/>
        <w:jc w:val="both"/>
        <w:rPr>
          <w:b/>
          <w:color w:val="000000"/>
        </w:rPr>
      </w:pPr>
      <w:r>
        <w:rPr>
          <w:b/>
          <w:color w:val="000000"/>
        </w:rPr>
        <w:t>1) </w:t>
      </w:r>
      <w:r w:rsidR="009517A6">
        <w:rPr>
          <w:b/>
          <w:color w:val="000000"/>
        </w:rPr>
        <w:t>P</w:t>
      </w:r>
      <w:r w:rsidR="000E3689" w:rsidRPr="00280689">
        <w:rPr>
          <w:b/>
          <w:color w:val="000000"/>
        </w:rPr>
        <w:t>iemērojamās direktīvas normu interpretē</w:t>
      </w:r>
      <w:r w:rsidR="009517A6">
        <w:rPr>
          <w:b/>
          <w:color w:val="000000"/>
        </w:rPr>
        <w:t>šana</w:t>
      </w:r>
      <w:r w:rsidR="000E3689" w:rsidRPr="00280689">
        <w:rPr>
          <w:b/>
          <w:color w:val="000000"/>
        </w:rPr>
        <w:t xml:space="preserve"> jaunās direktīvas normu gaismā</w:t>
      </w:r>
    </w:p>
    <w:p w14:paraId="130300F0" w14:textId="6A87366D" w:rsidR="00C87D78" w:rsidRDefault="007A4CBE" w:rsidP="00A1588C">
      <w:pPr>
        <w:spacing w:after="0"/>
        <w:ind w:firstLine="567"/>
        <w:jc w:val="both"/>
        <w:rPr>
          <w:color w:val="000000"/>
        </w:rPr>
      </w:pPr>
      <w:r>
        <w:rPr>
          <w:color w:val="000000"/>
        </w:rPr>
        <w:t xml:space="preserve">Eiropas Savienības Tiesa lietā </w:t>
      </w:r>
      <w:r w:rsidRPr="007A4CBE">
        <w:rPr>
          <w:i/>
          <w:color w:val="000000"/>
        </w:rPr>
        <w:t>Partner Apelski Dariusz</w:t>
      </w:r>
      <w:r>
        <w:rPr>
          <w:i/>
          <w:color w:val="000000"/>
        </w:rPr>
        <w:t>,</w:t>
      </w:r>
      <w:r w:rsidR="009D1B83" w:rsidRPr="009D1B83">
        <w:rPr>
          <w:rStyle w:val="FootnoteReference"/>
          <w:color w:val="000000"/>
        </w:rPr>
        <w:footnoteReference w:id="2"/>
      </w:r>
      <w:r w:rsidRPr="007A4CBE">
        <w:rPr>
          <w:color w:val="000000"/>
        </w:rPr>
        <w:t xml:space="preserve"> </w:t>
      </w:r>
      <w:r>
        <w:rPr>
          <w:color w:val="000000"/>
        </w:rPr>
        <w:t>izvērtējot vecās normas regulējumu un precīzāku jaunās direkt</w:t>
      </w:r>
      <w:r w:rsidR="00420F0D">
        <w:rPr>
          <w:color w:val="000000"/>
        </w:rPr>
        <w:t>īvas normas regulējumu</w:t>
      </w:r>
      <w:r>
        <w:rPr>
          <w:color w:val="000000"/>
        </w:rPr>
        <w:t xml:space="preserve">, atzina, ka </w:t>
      </w:r>
      <w:r w:rsidR="00280689">
        <w:rPr>
          <w:color w:val="000000"/>
        </w:rPr>
        <w:t>vecā norma nevar tikt interpretēta</w:t>
      </w:r>
      <w:r w:rsidR="00280689" w:rsidRPr="00280689">
        <w:rPr>
          <w:color w:val="000000"/>
        </w:rPr>
        <w:t xml:space="preserve"> </w:t>
      </w:r>
      <w:r w:rsidR="00280689">
        <w:rPr>
          <w:color w:val="000000"/>
        </w:rPr>
        <w:t xml:space="preserve">jaunākas normas </w:t>
      </w:r>
      <w:r w:rsidR="00280689" w:rsidRPr="00280689">
        <w:rPr>
          <w:color w:val="000000"/>
        </w:rPr>
        <w:t>gaismā.</w:t>
      </w:r>
      <w:r w:rsidR="00280689">
        <w:rPr>
          <w:color w:val="000000"/>
        </w:rPr>
        <w:t xml:space="preserve"> </w:t>
      </w:r>
      <w:r w:rsidR="009D1B83">
        <w:rPr>
          <w:color w:val="000000"/>
        </w:rPr>
        <w:t xml:space="preserve">To, vai vecāku normu ir iespējams interpretēt jaunākas normas gaismā, ir </w:t>
      </w:r>
      <w:r w:rsidR="00C12590">
        <w:rPr>
          <w:color w:val="000000"/>
        </w:rPr>
        <w:t>vērtējams jautājums.</w:t>
      </w:r>
      <w:r w:rsidR="009D1B83">
        <w:rPr>
          <w:color w:val="000000"/>
        </w:rPr>
        <w:t xml:space="preserve">  </w:t>
      </w:r>
    </w:p>
    <w:p w14:paraId="7AD6F23B" w14:textId="77777777" w:rsidR="00C87D78" w:rsidRDefault="00C87D78" w:rsidP="00A1588C">
      <w:pPr>
        <w:spacing w:after="0"/>
        <w:ind w:firstLine="567"/>
        <w:jc w:val="both"/>
        <w:rPr>
          <w:color w:val="000000"/>
        </w:rPr>
      </w:pPr>
    </w:p>
    <w:tbl>
      <w:tblPr>
        <w:tblStyle w:val="TableGrid"/>
        <w:tblW w:w="0" w:type="auto"/>
        <w:shd w:val="clear" w:color="auto" w:fill="F2F2F2" w:themeFill="background1" w:themeFillShade="F2"/>
        <w:tblLook w:val="04A0" w:firstRow="1" w:lastRow="0" w:firstColumn="1" w:lastColumn="0" w:noHBand="0" w:noVBand="1"/>
      </w:tblPr>
      <w:tblGrid>
        <w:gridCol w:w="8494"/>
      </w:tblGrid>
      <w:tr w:rsidR="00C87D78" w:rsidRPr="00381475" w14:paraId="308E9987" w14:textId="77777777" w:rsidTr="00E732AF">
        <w:tc>
          <w:tcPr>
            <w:tcW w:w="8494" w:type="dxa"/>
            <w:shd w:val="clear" w:color="auto" w:fill="F2F2F2" w:themeFill="background1" w:themeFillShade="F2"/>
          </w:tcPr>
          <w:p w14:paraId="094B8088" w14:textId="36FD4ABB" w:rsidR="00237A3E" w:rsidRPr="00381475" w:rsidRDefault="00C87D78" w:rsidP="008079FB">
            <w:pPr>
              <w:ind w:firstLine="720"/>
              <w:jc w:val="both"/>
            </w:pPr>
            <w:r w:rsidRPr="00381475">
              <w:t xml:space="preserve">Lietā </w:t>
            </w:r>
            <w:r>
              <w:t>„</w:t>
            </w:r>
            <w:r w:rsidRPr="007A4CBE">
              <w:rPr>
                <w:i/>
                <w:color w:val="000000"/>
              </w:rPr>
              <w:t>Partner Apelski Dariusz</w:t>
            </w:r>
            <w:r>
              <w:t xml:space="preserve">” </w:t>
            </w:r>
            <w:r w:rsidR="00237A3E">
              <w:t>Eiropas Savienības Tiesa norādīja, ka, l</w:t>
            </w:r>
            <w:r w:rsidR="00237A3E" w:rsidRPr="00237A3E">
              <w:t>ai gan Direktīva 2014/24, kā ir nor</w:t>
            </w:r>
            <w:r w:rsidR="00237A3E">
              <w:t>ādīts tostarp tās preambulas 2.</w:t>
            </w:r>
            <w:r w:rsidR="00237A3E" w:rsidRPr="00237A3E">
              <w:t xml:space="preserve">apsvērumā, ir vērsta uz to, lai precizētu zināmus galvenos jēdzienus un koncepcijas, lai nodrošinātu juridisko noteiktību, kā arī ietvertu dažus ar tiem saistītus </w:t>
            </w:r>
            <w:r w:rsidR="00F60AFE">
              <w:t xml:space="preserve">Eiropas Savienības </w:t>
            </w:r>
            <w:r w:rsidR="00237A3E" w:rsidRPr="00237A3E">
              <w:t xml:space="preserve">Tiesas iedibinātās judikatūras aspektus, </w:t>
            </w:r>
            <w:r w:rsidR="00F60AFE">
              <w:t>tad tomēr ar šīs direktīvas 63.</w:t>
            </w:r>
            <w:r w:rsidR="00237A3E" w:rsidRPr="00237A3E">
              <w:t>pantu ir veikti būtiski grozījumi attiecībā uz saimnieciskās darbības subjekta tiesībām izmantot citu subjektu iespējas saistībā ar publiskā iepirkuma līgumu.</w:t>
            </w:r>
            <w:r w:rsidR="00F60AFE">
              <w:t xml:space="preserve"> Ar Direktīvas 2014/24 63. panta 1. punktu nekādi netiek t</w:t>
            </w:r>
            <w:r w:rsidR="008079FB">
              <w:t>urpināta Direktīvas 2004/18 48.panta 3.</w:t>
            </w:r>
            <w:r w:rsidR="00F60AFE">
              <w:t>punkta pastāvēšana un netiek izskaidrota tās piemērošanas joma, bet gan ir paredzēti jaunu nosacījumi, kas nav bijuši paredzēti iepriekšējā tiesiskajā regulēj</w:t>
            </w:r>
            <w:r w:rsidR="008079FB">
              <w:t xml:space="preserve">umā. </w:t>
            </w:r>
            <w:r w:rsidR="00F60AFE">
              <w:t>Šajos apstākļos minētā Direktīvas 2014/24 tiesību norma nevar tikt izman</w:t>
            </w:r>
            <w:r w:rsidR="008079FB">
              <w:t>tota par Direktīvas 2004/18 48.panta 3.</w:t>
            </w:r>
            <w:r w:rsidR="00F60AFE">
              <w:t>punkta interpretācijas kritēriju, jo šajā lietā jautājums nav par šaubu attiecībā uz pēdējās minētās tiesību normas satura interpretāciju kliedēšanu.</w:t>
            </w:r>
          </w:p>
        </w:tc>
      </w:tr>
    </w:tbl>
    <w:p w14:paraId="48082096" w14:textId="77777777" w:rsidR="00C87D78" w:rsidRDefault="00C87D78" w:rsidP="00A1588C">
      <w:pPr>
        <w:spacing w:after="0"/>
        <w:ind w:firstLine="567"/>
        <w:jc w:val="both"/>
        <w:rPr>
          <w:color w:val="000000"/>
        </w:rPr>
      </w:pPr>
    </w:p>
    <w:p w14:paraId="41672C48" w14:textId="56C77884" w:rsidR="000E3689" w:rsidRPr="00932F41" w:rsidRDefault="00C07211" w:rsidP="00A1588C">
      <w:pPr>
        <w:spacing w:after="0"/>
        <w:ind w:firstLine="567"/>
        <w:jc w:val="both"/>
        <w:rPr>
          <w:szCs w:val="24"/>
        </w:rPr>
      </w:pPr>
      <w:r>
        <w:rPr>
          <w:color w:val="000000"/>
        </w:rPr>
        <w:t>Vienlaikus Eiropas Savienības Tiesa</w:t>
      </w:r>
      <w:r w:rsidR="00601CFF">
        <w:rPr>
          <w:color w:val="000000"/>
        </w:rPr>
        <w:t xml:space="preserve"> arī vairākās citās lietās ir</w:t>
      </w:r>
      <w:r>
        <w:rPr>
          <w:color w:val="000000"/>
        </w:rPr>
        <w:t xml:space="preserve"> stingri nor</w:t>
      </w:r>
      <w:r w:rsidR="00601CFF">
        <w:rPr>
          <w:color w:val="000000"/>
        </w:rPr>
        <w:t>ādījusi</w:t>
      </w:r>
      <w:r>
        <w:rPr>
          <w:color w:val="000000"/>
        </w:rPr>
        <w:t>, ka s</w:t>
      </w:r>
      <w:r w:rsidR="00766730" w:rsidRPr="00766730">
        <w:rPr>
          <w:color w:val="000000"/>
        </w:rPr>
        <w:t xml:space="preserve">askaņā ar pastāvīgo judikatūru principā ir jāpiemēro tā direktīva, kura ir spēkā brīdī, kad līgumslēdzēja iestāde izvēlas, kādu procedūru tā īstenos, un galīgi izlemj jautājumu, vai </w:t>
      </w:r>
      <w:r w:rsidR="00766730" w:rsidRPr="00766730">
        <w:rPr>
          <w:color w:val="000000"/>
        </w:rPr>
        <w:lastRenderedPageBreak/>
        <w:t>pastāv pienākums veikt iepirkuma procedūras iepriekšēju izsludināšanu publiskā iepirkuma līguma slēgšanas tiesību piešķiršanai. Turpretī nav piemērojamas tādas direktīvas normas, kuras transponēšanas termiņš ir beidzies pēc šī brīža.</w:t>
      </w:r>
      <w:r w:rsidR="00766730">
        <w:rPr>
          <w:rStyle w:val="FootnoteReference"/>
          <w:color w:val="000000"/>
        </w:rPr>
        <w:footnoteReference w:id="3"/>
      </w:r>
    </w:p>
    <w:p w14:paraId="43F9991C" w14:textId="77777777" w:rsidR="00EF5AAC" w:rsidRDefault="00EF5AAC" w:rsidP="005D6D75">
      <w:pPr>
        <w:spacing w:after="0"/>
        <w:ind w:firstLine="567"/>
        <w:jc w:val="both"/>
        <w:rPr>
          <w:b/>
          <w:szCs w:val="24"/>
        </w:rPr>
      </w:pPr>
    </w:p>
    <w:p w14:paraId="6B43F1DE" w14:textId="7546F36B" w:rsidR="0069482B" w:rsidRDefault="00D06036" w:rsidP="005D6D75">
      <w:pPr>
        <w:spacing w:after="0"/>
        <w:ind w:firstLine="567"/>
        <w:jc w:val="both"/>
        <w:rPr>
          <w:b/>
          <w:szCs w:val="24"/>
        </w:rPr>
      </w:pPr>
      <w:r>
        <w:rPr>
          <w:b/>
          <w:szCs w:val="24"/>
        </w:rPr>
        <w:t>2) </w:t>
      </w:r>
      <w:r w:rsidR="005D6D75">
        <w:rPr>
          <w:b/>
          <w:szCs w:val="24"/>
        </w:rPr>
        <w:t>Atturēšanās no tādiem pasākumiem un no</w:t>
      </w:r>
      <w:r w:rsidR="0069482B">
        <w:rPr>
          <w:b/>
          <w:szCs w:val="24"/>
        </w:rPr>
        <w:t>rmu</w:t>
      </w:r>
      <w:r w:rsidR="005D6D75">
        <w:rPr>
          <w:b/>
          <w:szCs w:val="24"/>
        </w:rPr>
        <w:t xml:space="preserve"> interpretācijas, kas var apgrūtināt transponējam</w:t>
      </w:r>
      <w:r w:rsidR="0069482B">
        <w:rPr>
          <w:b/>
          <w:szCs w:val="24"/>
        </w:rPr>
        <w:t>ajā</w:t>
      </w:r>
      <w:r w:rsidR="005D6D75">
        <w:rPr>
          <w:b/>
          <w:szCs w:val="24"/>
        </w:rPr>
        <w:t xml:space="preserve"> direkt</w:t>
      </w:r>
      <w:r w:rsidR="0069482B">
        <w:rPr>
          <w:b/>
          <w:szCs w:val="24"/>
        </w:rPr>
        <w:t>īvā paredzēto mērķu sasniegšanu</w:t>
      </w:r>
    </w:p>
    <w:p w14:paraId="5A76FB64" w14:textId="0DC4E73D" w:rsidR="00552EC1" w:rsidRDefault="00B902B0" w:rsidP="005D6D75">
      <w:pPr>
        <w:spacing w:after="0"/>
        <w:ind w:firstLine="567"/>
        <w:jc w:val="both"/>
        <w:rPr>
          <w:szCs w:val="24"/>
        </w:rPr>
      </w:pPr>
      <w:r>
        <w:rPr>
          <w:szCs w:val="24"/>
        </w:rPr>
        <w:t xml:space="preserve">Eiropas Savienības Tiesas judikatūra </w:t>
      </w:r>
      <w:r w:rsidRPr="00B902B0">
        <w:rPr>
          <w:szCs w:val="24"/>
        </w:rPr>
        <w:t>liek dalībvalstīm atturēties no tādu pasākumu ieviešanas</w:t>
      </w:r>
      <w:r>
        <w:rPr>
          <w:szCs w:val="24"/>
        </w:rPr>
        <w:t xml:space="preserve"> un </w:t>
      </w:r>
      <w:r w:rsidR="00633657">
        <w:rPr>
          <w:szCs w:val="24"/>
        </w:rPr>
        <w:t>piemērojamās</w:t>
      </w:r>
      <w:r>
        <w:rPr>
          <w:szCs w:val="24"/>
        </w:rPr>
        <w:t xml:space="preserve"> direktīvas normu </w:t>
      </w:r>
      <w:r w:rsidR="00370777">
        <w:rPr>
          <w:szCs w:val="24"/>
        </w:rPr>
        <w:t xml:space="preserve">interpretēšanas </w:t>
      </w:r>
      <w:r>
        <w:rPr>
          <w:szCs w:val="24"/>
        </w:rPr>
        <w:t>jaunās</w:t>
      </w:r>
      <w:r w:rsidRPr="00B902B0">
        <w:rPr>
          <w:szCs w:val="24"/>
        </w:rPr>
        <w:t xml:space="preserve"> direktīvas transponēšanas termiņa laikā, kas varētu nopietni apgrūtināt </w:t>
      </w:r>
      <w:r w:rsidR="00633657">
        <w:rPr>
          <w:szCs w:val="24"/>
        </w:rPr>
        <w:t xml:space="preserve">jaunajā direktīvā </w:t>
      </w:r>
      <w:r w:rsidRPr="00B902B0">
        <w:rPr>
          <w:szCs w:val="24"/>
        </w:rPr>
        <w:t xml:space="preserve">paredzētā rezultāta </w:t>
      </w:r>
      <w:r>
        <w:rPr>
          <w:szCs w:val="24"/>
        </w:rPr>
        <w:t xml:space="preserve">un mērķu </w:t>
      </w:r>
      <w:r w:rsidRPr="00B902B0">
        <w:rPr>
          <w:szCs w:val="24"/>
        </w:rPr>
        <w:t>sasniegšanu</w:t>
      </w:r>
      <w:r>
        <w:rPr>
          <w:szCs w:val="24"/>
        </w:rPr>
        <w:t>.</w:t>
      </w:r>
      <w:r>
        <w:rPr>
          <w:rStyle w:val="FootnoteReference"/>
          <w:szCs w:val="24"/>
        </w:rPr>
        <w:footnoteReference w:id="4"/>
      </w:r>
      <w:r w:rsidR="00B42CBB">
        <w:rPr>
          <w:szCs w:val="24"/>
        </w:rPr>
        <w:t xml:space="preserve"> Šī </w:t>
      </w:r>
      <w:r w:rsidRPr="00B902B0">
        <w:rPr>
          <w:szCs w:val="24"/>
        </w:rPr>
        <w:t xml:space="preserve">judikatūra neļauj pirms minētā termiņa iestāšanās noteikt </w:t>
      </w:r>
      <w:r w:rsidR="00B42CBB">
        <w:rPr>
          <w:szCs w:val="24"/>
        </w:rPr>
        <w:t xml:space="preserve">tādus </w:t>
      </w:r>
      <w:r w:rsidRPr="00B902B0">
        <w:rPr>
          <w:szCs w:val="24"/>
        </w:rPr>
        <w:t xml:space="preserve">ierobežojumus pretendentam, kas neizriet no </w:t>
      </w:r>
      <w:r w:rsidR="003202B4">
        <w:rPr>
          <w:szCs w:val="24"/>
        </w:rPr>
        <w:t xml:space="preserve">Eiropas </w:t>
      </w:r>
      <w:r w:rsidRPr="00B902B0">
        <w:rPr>
          <w:szCs w:val="24"/>
        </w:rPr>
        <w:t>Savienības tiesībām.</w:t>
      </w:r>
      <w:r w:rsidR="00D10924">
        <w:rPr>
          <w:rStyle w:val="FootnoteReference"/>
          <w:szCs w:val="24"/>
        </w:rPr>
        <w:footnoteReference w:id="5"/>
      </w:r>
      <w:r w:rsidR="005D6D75" w:rsidRPr="00B902B0">
        <w:rPr>
          <w:szCs w:val="24"/>
        </w:rPr>
        <w:t xml:space="preserve"> </w:t>
      </w:r>
    </w:p>
    <w:p w14:paraId="03CB9047" w14:textId="77777777" w:rsidR="00A5627F" w:rsidRPr="00381475" w:rsidRDefault="00A5627F" w:rsidP="00A5627F">
      <w:pPr>
        <w:spacing w:after="0" w:line="240" w:lineRule="auto"/>
        <w:jc w:val="both"/>
      </w:pPr>
    </w:p>
    <w:tbl>
      <w:tblPr>
        <w:tblStyle w:val="TableGrid"/>
        <w:tblW w:w="0" w:type="auto"/>
        <w:shd w:val="clear" w:color="auto" w:fill="F2F2F2" w:themeFill="background1" w:themeFillShade="F2"/>
        <w:tblLook w:val="04A0" w:firstRow="1" w:lastRow="0" w:firstColumn="1" w:lastColumn="0" w:noHBand="0" w:noVBand="1"/>
      </w:tblPr>
      <w:tblGrid>
        <w:gridCol w:w="8494"/>
      </w:tblGrid>
      <w:tr w:rsidR="00A5627F" w:rsidRPr="00381475" w14:paraId="1EF3047B" w14:textId="77777777" w:rsidTr="00844ACF">
        <w:tc>
          <w:tcPr>
            <w:tcW w:w="8494" w:type="dxa"/>
            <w:shd w:val="clear" w:color="auto" w:fill="F2F2F2" w:themeFill="background1" w:themeFillShade="F2"/>
          </w:tcPr>
          <w:p w14:paraId="336AB01D" w14:textId="2C043CE6" w:rsidR="00A5627F" w:rsidRPr="00381475" w:rsidRDefault="00A5627F" w:rsidP="00AF07C0">
            <w:pPr>
              <w:ind w:firstLine="720"/>
              <w:jc w:val="both"/>
            </w:pPr>
            <w:r w:rsidRPr="00381475">
              <w:t xml:space="preserve">Lietā </w:t>
            </w:r>
            <w:r>
              <w:t>„</w:t>
            </w:r>
            <w:r w:rsidR="0083059E" w:rsidRPr="0083059E">
              <w:t>Pippo Pizzo</w:t>
            </w:r>
            <w:r>
              <w:t xml:space="preserve">” </w:t>
            </w:r>
            <w:r w:rsidR="00360B3C">
              <w:t>It</w:t>
            </w:r>
            <w:r w:rsidR="00CE01DC">
              <w:t xml:space="preserve">ālijas tiesa uzdeva jautājumu </w:t>
            </w:r>
            <w:r w:rsidR="00360B3C">
              <w:t>par ierobe</w:t>
            </w:r>
            <w:r w:rsidR="00A63F0C">
              <w:t xml:space="preserve">žojumiem </w:t>
            </w:r>
            <w:r w:rsidR="00360B3C">
              <w:t xml:space="preserve">saimnieciskās darbības subjektam atsaukties uz citu personu iespējām, </w:t>
            </w:r>
            <w:r w:rsidR="00A63F0C" w:rsidRPr="00A63F0C">
              <w:t>lai panāktu atbilstību minimālajām prasībām dalībai iepirkuma procedūrā</w:t>
            </w:r>
            <w:r w:rsidR="00CE01DC">
              <w:t xml:space="preserve">. Dalībvalsts tiesa </w:t>
            </w:r>
            <w:r w:rsidR="00875E13">
              <w:t>šajā prejudiciālajā jautājumā ietvēra arī jautājumu par jaun</w:t>
            </w:r>
            <w:r w:rsidR="000E7992">
              <w:t>ās D</w:t>
            </w:r>
            <w:r w:rsidR="00875E13">
              <w:t xml:space="preserve">irektīvas </w:t>
            </w:r>
            <w:r w:rsidR="000E7992">
              <w:t>2014/24 piemērošanu</w:t>
            </w:r>
            <w:r w:rsidR="00BA7F20">
              <w:t xml:space="preserve"> – tajā paredzētajiem </w:t>
            </w:r>
            <w:r w:rsidR="00BA7F20" w:rsidRPr="00BA7F20">
              <w:t>ierobežojumi</w:t>
            </w:r>
            <w:r w:rsidR="00BA7F20">
              <w:t>em</w:t>
            </w:r>
            <w:r w:rsidR="00BA7F20" w:rsidRPr="00BA7F20">
              <w:t xml:space="preserve"> iespējai izmantot citu uzņēmumu iespējas</w:t>
            </w:r>
            <w:r w:rsidR="000E7992">
              <w:t xml:space="preserve">. Eiropas Savienības Tiesa uzsvēra, ka </w:t>
            </w:r>
            <w:r w:rsidR="00C33A08">
              <w:t xml:space="preserve">jaunās direktīvas noteikumi </w:t>
            </w:r>
            <w:r w:rsidR="003435BB">
              <w:t xml:space="preserve">lietā nav piemērojami </w:t>
            </w:r>
            <w:r w:rsidR="003435BB" w:rsidRPr="003435BB">
              <w:rPr>
                <w:i/>
              </w:rPr>
              <w:t>ratione temporis</w:t>
            </w:r>
            <w:r w:rsidR="0008340B">
              <w:t xml:space="preserve"> un </w:t>
            </w:r>
            <w:r w:rsidR="00D3471A">
              <w:t>nevar tikt noteikti tādi ierobežojumi, ko neparedz piemērojam</w:t>
            </w:r>
            <w:r w:rsidR="00692C83">
              <w:t>ā D</w:t>
            </w:r>
            <w:r w:rsidR="00D3471A">
              <w:t>irektīva</w:t>
            </w:r>
            <w:r w:rsidR="00EA61A4">
              <w:t xml:space="preserve"> 2004/1</w:t>
            </w:r>
            <w:r w:rsidR="00AF07C0">
              <w:t>8</w:t>
            </w:r>
            <w:r w:rsidR="003435BB">
              <w:t>.</w:t>
            </w:r>
            <w:r w:rsidR="00FF675C">
              <w:rPr>
                <w:rStyle w:val="FootnoteReference"/>
              </w:rPr>
              <w:footnoteReference w:id="6"/>
            </w:r>
          </w:p>
        </w:tc>
      </w:tr>
    </w:tbl>
    <w:p w14:paraId="6BFFA225" w14:textId="77777777" w:rsidR="00A5627F" w:rsidRDefault="00A5627F" w:rsidP="00A5627F">
      <w:pPr>
        <w:spacing w:after="0" w:line="240" w:lineRule="auto"/>
        <w:jc w:val="both"/>
      </w:pPr>
    </w:p>
    <w:p w14:paraId="3D2D2C09" w14:textId="77777777" w:rsidR="003967F8" w:rsidRDefault="003967F8" w:rsidP="005D6D75">
      <w:pPr>
        <w:spacing w:after="0"/>
        <w:ind w:firstLine="567"/>
        <w:jc w:val="both"/>
        <w:rPr>
          <w:szCs w:val="24"/>
        </w:rPr>
      </w:pPr>
    </w:p>
    <w:p w14:paraId="207F2E86" w14:textId="60A11A88" w:rsidR="00F8229F" w:rsidRPr="00B902B0" w:rsidRDefault="00F8229F" w:rsidP="005D6D75">
      <w:pPr>
        <w:spacing w:after="0"/>
        <w:ind w:firstLine="567"/>
        <w:jc w:val="both"/>
        <w:rPr>
          <w:szCs w:val="24"/>
        </w:rPr>
      </w:pPr>
      <w:r w:rsidRPr="00B902B0">
        <w:rPr>
          <w:szCs w:val="24"/>
        </w:rPr>
        <w:br w:type="page"/>
      </w:r>
    </w:p>
    <w:p w14:paraId="10BB7C57" w14:textId="77777777" w:rsidR="00F8229F" w:rsidRPr="00F8229F" w:rsidRDefault="00F8229F" w:rsidP="00542CEB">
      <w:pPr>
        <w:pStyle w:val="Heading2"/>
      </w:pPr>
      <w:bookmarkStart w:id="8" w:name="_Toc486596096"/>
      <w:bookmarkStart w:id="9" w:name="_Toc491088008"/>
      <w:r>
        <w:lastRenderedPageBreak/>
        <w:t>Procesuālie aspekti</w:t>
      </w:r>
      <w:bookmarkEnd w:id="8"/>
      <w:bookmarkEnd w:id="9"/>
    </w:p>
    <w:p w14:paraId="5A1D9AEF" w14:textId="77777777" w:rsidR="00BA0F64" w:rsidRDefault="00BA0F64" w:rsidP="00270EB6">
      <w:pPr>
        <w:pStyle w:val="ListParagraph"/>
        <w:spacing w:after="0"/>
        <w:ind w:left="0"/>
        <w:jc w:val="center"/>
        <w:rPr>
          <w:b/>
          <w:caps/>
          <w:szCs w:val="24"/>
        </w:rPr>
      </w:pPr>
    </w:p>
    <w:p w14:paraId="6170EB74" w14:textId="41AA5784" w:rsidR="00F8229F" w:rsidRPr="00F8229F" w:rsidRDefault="00E058D6" w:rsidP="003626F4">
      <w:pPr>
        <w:pStyle w:val="Heading4"/>
      </w:pPr>
      <w:bookmarkStart w:id="10" w:name="_Toc491088009"/>
      <w:r>
        <w:t>Tiesības celt prasību</w:t>
      </w:r>
      <w:bookmarkEnd w:id="10"/>
      <w:r>
        <w:t xml:space="preserve"> </w:t>
      </w:r>
    </w:p>
    <w:p w14:paraId="77479E90" w14:textId="65D36E79" w:rsidR="00F8229F" w:rsidRDefault="00F8229F" w:rsidP="0021262B">
      <w:pPr>
        <w:pStyle w:val="ListParagraph"/>
        <w:spacing w:after="0"/>
        <w:ind w:left="0" w:firstLine="567"/>
        <w:jc w:val="both"/>
        <w:rPr>
          <w:szCs w:val="24"/>
        </w:rPr>
      </w:pPr>
    </w:p>
    <w:p w14:paraId="22E5D2E1" w14:textId="349F26DE" w:rsidR="00BD5FBF" w:rsidRPr="007B25D4" w:rsidRDefault="007B25D4" w:rsidP="00BD5FBF">
      <w:pPr>
        <w:spacing w:after="0"/>
        <w:ind w:firstLine="566"/>
        <w:jc w:val="both"/>
        <w:rPr>
          <w:b/>
        </w:rPr>
      </w:pPr>
      <w:r w:rsidRPr="007B25D4">
        <w:rPr>
          <w:b/>
        </w:rPr>
        <w:t xml:space="preserve">Par iepirkumos celto prasību efektivitāti </w:t>
      </w:r>
    </w:p>
    <w:p w14:paraId="7B41F89C" w14:textId="500F139E" w:rsidR="00941F82" w:rsidRDefault="002343BE" w:rsidP="00BD5FBF">
      <w:pPr>
        <w:spacing w:after="0"/>
        <w:ind w:firstLine="566"/>
        <w:jc w:val="both"/>
      </w:pPr>
      <w:r>
        <w:t>L</w:t>
      </w:r>
      <w:r w:rsidR="00BD5FBF">
        <w:t>a</w:t>
      </w:r>
      <w:r w:rsidR="003B1B8A" w:rsidRPr="003B1B8A">
        <w:t xml:space="preserve">i </w:t>
      </w:r>
      <w:r w:rsidR="00BD5FBF">
        <w:t xml:space="preserve">saskaņā ar </w:t>
      </w:r>
      <w:r w:rsidR="00F60584">
        <w:t>Direktīva</w:t>
      </w:r>
      <w:r w:rsidR="00210048">
        <w:t>s</w:t>
      </w:r>
      <w:r w:rsidR="00F60584">
        <w:t xml:space="preserve"> 89/665 </w:t>
      </w:r>
      <w:r w:rsidR="00BD5FBF">
        <w:t>1.panta 1.punkta trešo daļu un 1.panta 3.</w:t>
      </w:r>
      <w:r w:rsidR="003B1B8A" w:rsidRPr="003B1B8A">
        <w:t>punktu par līgumslēdzējas iestādes pieņemtajiem lēmumiem celtās prasības varētu uzskatīt par efektīvām, tām ir jābūt pieejamām vismaz ikvienai personai, kura ir vai ir bijusi ieinteresēta iegūt konkrēta līguma slēgšanas tiesības un kurai ar varbūtējo pārkāpumu ir vai var tikt nodarīts kaitējums</w:t>
      </w:r>
      <w:r w:rsidR="009B6AF5">
        <w:t>.</w:t>
      </w:r>
      <w:r w:rsidR="009B6AF5">
        <w:rPr>
          <w:rStyle w:val="FootnoteReference"/>
        </w:rPr>
        <w:footnoteReference w:id="7"/>
      </w:r>
      <w:r w:rsidR="003B1B8A" w:rsidRPr="003B1B8A">
        <w:t xml:space="preserve"> </w:t>
      </w:r>
    </w:p>
    <w:p w14:paraId="138C8391" w14:textId="77777777" w:rsidR="00A04627" w:rsidRDefault="00A04627" w:rsidP="00BD5FBF">
      <w:pPr>
        <w:spacing w:after="0"/>
        <w:ind w:firstLine="566"/>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C7178C" w:rsidRPr="00381475" w14:paraId="5704D30B" w14:textId="77777777" w:rsidTr="006F5810">
        <w:tc>
          <w:tcPr>
            <w:tcW w:w="7932" w:type="dxa"/>
            <w:shd w:val="clear" w:color="auto" w:fill="F2F2F2" w:themeFill="background1" w:themeFillShade="F2"/>
          </w:tcPr>
          <w:p w14:paraId="7CA5C75C" w14:textId="6147C2B2" w:rsidR="00F60584" w:rsidRDefault="00F60584" w:rsidP="006F5810">
            <w:pPr>
              <w:ind w:firstLine="720"/>
              <w:jc w:val="both"/>
            </w:pPr>
            <w:r>
              <w:t>Direktīva</w:t>
            </w:r>
            <w:r w:rsidR="00D506BD">
              <w:t>s</w:t>
            </w:r>
            <w:r>
              <w:t xml:space="preserve"> 89/665 1.panta 1.punkta trešā daļa:</w:t>
            </w:r>
          </w:p>
          <w:p w14:paraId="5340AC46" w14:textId="5BEF524C" w:rsidR="00E70C14" w:rsidRDefault="00E70C14" w:rsidP="006F5810">
            <w:pPr>
              <w:ind w:firstLine="720"/>
              <w:jc w:val="both"/>
            </w:pPr>
            <w:r>
              <w:t>D</w:t>
            </w:r>
            <w:r w:rsidRPr="00071F1F">
              <w:t xml:space="preserve">alībvalstis veic vajadzīgos pasākumus, lai nodrošinātu, ka attiecībā uz līgumiem, uz ko attiecas Direktīva 2014/24/ES vai Direktīva 2014/23/ES, līgumslēdzēju iestāžu lēmumus var efektīvi un jo īpaši iespējami ātri pārskatīt saskaņā ar šīs direktīvas 2.–2.f pantā izklāstītajiem nosacījumiem, pamatojoties uz to, ka ar šādiem lēmumiem ir pārkāpti </w:t>
            </w:r>
            <w:r>
              <w:t xml:space="preserve">Eiropas </w:t>
            </w:r>
            <w:r w:rsidRPr="00071F1F">
              <w:t>Savienības tiesību akti publiskā iepirkuma jomā vai attiecīgās valsts noteikumi, ar kuriem transponē minētos tiesību aktus</w:t>
            </w:r>
            <w:r w:rsidR="002F4309">
              <w:t>.</w:t>
            </w:r>
          </w:p>
          <w:p w14:paraId="5E075C83" w14:textId="32491152" w:rsidR="008A6BD1" w:rsidRDefault="008A6BD1" w:rsidP="006F5810">
            <w:pPr>
              <w:ind w:firstLine="720"/>
              <w:jc w:val="both"/>
            </w:pPr>
            <w:r>
              <w:t>Direktīvas 89/665 1.panta 3.punkts:</w:t>
            </w:r>
          </w:p>
          <w:p w14:paraId="16CD24AE" w14:textId="5E8DC6E6" w:rsidR="00C7178C" w:rsidRPr="00381475" w:rsidRDefault="00B772D1" w:rsidP="00D50CB2">
            <w:pPr>
              <w:spacing w:after="0"/>
              <w:ind w:firstLine="566"/>
              <w:jc w:val="both"/>
            </w:pPr>
            <w:r>
              <w:t>D</w:t>
            </w:r>
            <w:r w:rsidR="003919C9" w:rsidRPr="00AB08A2">
              <w:t>alībvalstis nodrošina to, ka saskaņā ar sīki izstrādātiem noteikumiem, ko dalībvalstis var pieņemt, pārskatīšanas procedūras ir pieejamas vismaz ikvienai personai, kura ir vai ir bijusi ieinteresēta iegūt konkrēta līguma slēgšanas tiesības un kurai ar varbūtējo pārkāpumu ir vai var tikt nodarīts kaitējums.</w:t>
            </w:r>
          </w:p>
        </w:tc>
      </w:tr>
    </w:tbl>
    <w:p w14:paraId="6F2130CC" w14:textId="77777777" w:rsidR="00C7178C" w:rsidRDefault="00C7178C" w:rsidP="00C7178C">
      <w:pPr>
        <w:spacing w:after="0" w:line="240" w:lineRule="auto"/>
        <w:jc w:val="both"/>
      </w:pPr>
    </w:p>
    <w:p w14:paraId="74424C82" w14:textId="77777777" w:rsidR="006744DA" w:rsidRDefault="006744DA" w:rsidP="00F41E4D">
      <w:pPr>
        <w:spacing w:after="0"/>
        <w:ind w:firstLine="566"/>
        <w:jc w:val="both"/>
        <w:rPr>
          <w:b/>
        </w:rPr>
      </w:pPr>
    </w:p>
    <w:p w14:paraId="68B39112" w14:textId="795B7AD7" w:rsidR="00945EEB" w:rsidRPr="00945EEB" w:rsidRDefault="00945EEB" w:rsidP="00F41E4D">
      <w:pPr>
        <w:spacing w:after="0"/>
        <w:ind w:firstLine="566"/>
        <w:jc w:val="both"/>
        <w:rPr>
          <w:b/>
        </w:rPr>
      </w:pPr>
      <w:r w:rsidRPr="00945EEB">
        <w:rPr>
          <w:b/>
        </w:rPr>
        <w:t>Pretendenta piedāvājuma noraidīšana pirms</w:t>
      </w:r>
      <w:r w:rsidR="000A7DCD">
        <w:rPr>
          <w:b/>
        </w:rPr>
        <w:t xml:space="preserve"> iepirkuma uzvarētāja </w:t>
      </w:r>
      <w:r w:rsidRPr="00945EEB">
        <w:rPr>
          <w:b/>
        </w:rPr>
        <w:t xml:space="preserve">izvēles </w:t>
      </w:r>
    </w:p>
    <w:p w14:paraId="2A6B7AE0" w14:textId="086365FA" w:rsidR="00945EEB" w:rsidRDefault="00945EEB" w:rsidP="00F41E4D">
      <w:pPr>
        <w:spacing w:after="0"/>
        <w:ind w:firstLine="566"/>
        <w:jc w:val="both"/>
      </w:pPr>
      <w:r>
        <w:t>L</w:t>
      </w:r>
      <w:r w:rsidRPr="00945EEB">
        <w:t xml:space="preserve">ēmums, ar kuru līgumslēdzēja iestāde pat pirms izvēles izdarīšanas ir noraidījusi pretendenta piedāvājumu, ir lēmums, kuru </w:t>
      </w:r>
      <w:r w:rsidR="00D62393">
        <w:t>atbilstoši Direktīvas 89/665 1.panta 1.</w:t>
      </w:r>
      <w:r w:rsidRPr="00945EEB">
        <w:t xml:space="preserve">punktam ir jābūt iespējai pārsūdzēt, ciktāl šis noteikums ir attiecināms uz visiem līgumslēdzēju iestāžu pieņemtajiem lēmumiem, kam ir piemērojamas </w:t>
      </w:r>
      <w:r w:rsidR="00D62393">
        <w:t xml:space="preserve">Eiropas </w:t>
      </w:r>
      <w:r w:rsidRPr="00945EEB">
        <w:t>Savienības tiesību normas publisko iepirkumu jomā, un tajā nav paredzēti nekādi ierobežojumi attiecībā uz minēto lēmumu veidu un saturu</w:t>
      </w:r>
      <w:r w:rsidR="00D62393">
        <w:t>.</w:t>
      </w:r>
      <w:r w:rsidR="00D62393">
        <w:rPr>
          <w:rStyle w:val="FootnoteReference"/>
        </w:rPr>
        <w:footnoteReference w:id="8"/>
      </w:r>
      <w:r w:rsidRPr="00945EEB">
        <w:t xml:space="preserve"> </w:t>
      </w:r>
    </w:p>
    <w:p w14:paraId="0F367B99" w14:textId="77777777" w:rsidR="00D16522" w:rsidRDefault="00D16522" w:rsidP="00F41E4D">
      <w:pPr>
        <w:spacing w:after="0"/>
        <w:ind w:firstLine="566"/>
        <w:jc w:val="both"/>
        <w:rPr>
          <w:b/>
        </w:rPr>
      </w:pPr>
    </w:p>
    <w:p w14:paraId="69BD3B9C" w14:textId="77777777" w:rsidR="00B46423" w:rsidRDefault="00B46423" w:rsidP="00F41E4D">
      <w:pPr>
        <w:spacing w:after="0"/>
        <w:ind w:firstLine="566"/>
        <w:jc w:val="both"/>
        <w:rPr>
          <w:b/>
        </w:rPr>
      </w:pPr>
    </w:p>
    <w:p w14:paraId="1AA812E2" w14:textId="6BF0CA03" w:rsidR="00F41E4D" w:rsidRPr="00F41E4D" w:rsidRDefault="009421AA" w:rsidP="00F41E4D">
      <w:pPr>
        <w:spacing w:after="0"/>
        <w:ind w:firstLine="566"/>
        <w:jc w:val="both"/>
        <w:rPr>
          <w:b/>
        </w:rPr>
      </w:pPr>
      <w:r>
        <w:rPr>
          <w:b/>
        </w:rPr>
        <w:t xml:space="preserve">Divi piedāvājumi, no kuriem neviens neatbilst līguma tehniskajām specifikācijām </w:t>
      </w:r>
    </w:p>
    <w:p w14:paraId="327A490A" w14:textId="77777777" w:rsidR="00337066" w:rsidRDefault="00337066" w:rsidP="00337066">
      <w:pPr>
        <w:spacing w:after="0"/>
        <w:ind w:firstLine="566"/>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337066" w:rsidRPr="00381475" w14:paraId="721C68C1" w14:textId="77777777" w:rsidTr="006F5810">
        <w:tc>
          <w:tcPr>
            <w:tcW w:w="7932" w:type="dxa"/>
            <w:shd w:val="clear" w:color="auto" w:fill="F2F2F2" w:themeFill="background1" w:themeFillShade="F2"/>
          </w:tcPr>
          <w:p w14:paraId="1850C48D" w14:textId="3E3C2FDF" w:rsidR="00337066" w:rsidRDefault="00057434" w:rsidP="006F5810">
            <w:pPr>
              <w:ind w:firstLine="720"/>
              <w:jc w:val="both"/>
            </w:pPr>
            <w:r>
              <w:t xml:space="preserve">Lietā „Fastweb” </w:t>
            </w:r>
            <w:r w:rsidR="00273688">
              <w:t>iestāde</w:t>
            </w:r>
            <w:r w:rsidR="0062786B">
              <w:t xml:space="preserve">, pamatojoties uz iepirkuma procedūras </w:t>
            </w:r>
            <w:r w:rsidR="0062786B">
              <w:lastRenderedPageBreak/>
              <w:t>specifikācijām,</w:t>
            </w:r>
            <w:r w:rsidR="00273688">
              <w:t xml:space="preserve"> uzaicināja </w:t>
            </w:r>
            <w:r w:rsidR="00273688" w:rsidRPr="0062786B">
              <w:rPr>
                <w:i/>
              </w:rPr>
              <w:t>Fastweb</w:t>
            </w:r>
            <w:r w:rsidR="00273688">
              <w:t xml:space="preserve"> un tās konkurentu iesniegt savus piedāvājumus. </w:t>
            </w:r>
            <w:r w:rsidR="0062786B">
              <w:t xml:space="preserve">Izvērtējot piedāvājumus, iestāde noslēdza līgumu ar </w:t>
            </w:r>
            <w:r w:rsidR="0062786B" w:rsidRPr="0062786B">
              <w:rPr>
                <w:i/>
              </w:rPr>
              <w:t>Fastweb</w:t>
            </w:r>
            <w:r w:rsidR="0062786B">
              <w:rPr>
                <w:i/>
              </w:rPr>
              <w:t xml:space="preserve"> </w:t>
            </w:r>
            <w:r w:rsidR="0062786B">
              <w:t xml:space="preserve">konkurentu. </w:t>
            </w:r>
          </w:p>
          <w:p w14:paraId="3E4D5242" w14:textId="1CE60F06" w:rsidR="00376E0C" w:rsidRDefault="00E51CB8" w:rsidP="006F5810">
            <w:pPr>
              <w:ind w:firstLine="720"/>
              <w:jc w:val="both"/>
            </w:pPr>
            <w:r w:rsidRPr="0062786B">
              <w:rPr>
                <w:i/>
              </w:rPr>
              <w:t>Fastweb</w:t>
            </w:r>
            <w:r w:rsidR="002E1CD1">
              <w:rPr>
                <w:i/>
              </w:rPr>
              <w:t xml:space="preserve"> </w:t>
            </w:r>
            <w:r w:rsidR="00E65D88">
              <w:t>pārsūdzēja tiesā</w:t>
            </w:r>
            <w:r w:rsidR="00376E0C">
              <w:t xml:space="preserve"> lēmumu par līguma slēgšanas tiesību piešķiršanu</w:t>
            </w:r>
            <w:r w:rsidR="00444D18">
              <w:t>, norādot, ka tās konkurents neatbilda tehniskajām specifikācijām</w:t>
            </w:r>
            <w:r w:rsidR="00E65D88">
              <w:t xml:space="preserve">. </w:t>
            </w:r>
            <w:r w:rsidR="00AB5E05">
              <w:t xml:space="preserve">Arī pats konkurents iestājās tiesvedībā un cēla pretprasību. </w:t>
            </w:r>
            <w:r w:rsidR="006F5810">
              <w:t>Dalībvalsts t</w:t>
            </w:r>
            <w:r w:rsidR="00376E0C">
              <w:t xml:space="preserve">iesa, izskatot lietu, konstatēja, ka ne </w:t>
            </w:r>
            <w:r w:rsidR="00376E0C" w:rsidRPr="0062786B">
              <w:rPr>
                <w:i/>
              </w:rPr>
              <w:t>Fastweb</w:t>
            </w:r>
            <w:r w:rsidR="00376E0C">
              <w:rPr>
                <w:i/>
              </w:rPr>
              <w:t xml:space="preserve">, </w:t>
            </w:r>
            <w:r w:rsidR="00376E0C">
              <w:t xml:space="preserve">ne arī </w:t>
            </w:r>
            <w:r w:rsidR="00444D18">
              <w:t xml:space="preserve">tās konkurents, kam tika piešķirtas līguma slēgšanas tiesības, patiesībā neatbilda tehniskajām specifikācijām, un būtībā abas sabiedrības bija pielaistas dalībai konkursā prettiesiski. </w:t>
            </w:r>
            <w:r w:rsidR="00FB79D2">
              <w:t xml:space="preserve">Proti, abas sabiedrības kļūdaini nav izslēgtas no dalības procedūrā jau piedāvājuma pārbaudes posmā. </w:t>
            </w:r>
          </w:p>
          <w:p w14:paraId="1226B5E2" w14:textId="1E765094" w:rsidR="00337066" w:rsidRPr="00381475" w:rsidRDefault="006F5810" w:rsidP="006F5810">
            <w:pPr>
              <w:ind w:firstLine="720"/>
              <w:jc w:val="both"/>
            </w:pPr>
            <w:r>
              <w:t>Dalībvalsts t</w:t>
            </w:r>
            <w:r w:rsidR="002809EB">
              <w:t xml:space="preserve">iesa, uzskatot, ka tikai </w:t>
            </w:r>
            <w:r w:rsidR="00AF7947">
              <w:t>likumiski (prasībām atbilstoši) konkursa dalībnieki ir tiesīgi celt prasību par lēmumu piešķirt attiecīgā līguma slēgšanas tiesības, apšaubīja abu konkursa dalībnieku tiesības apstrīdēt procedūras iznākumu.</w:t>
            </w:r>
            <w:r w:rsidR="002F09FC">
              <w:rPr>
                <w:rStyle w:val="FootnoteReference"/>
              </w:rPr>
              <w:footnoteReference w:id="9"/>
            </w:r>
            <w:r w:rsidR="00AF7947">
              <w:t xml:space="preserve"> </w:t>
            </w:r>
          </w:p>
        </w:tc>
      </w:tr>
    </w:tbl>
    <w:p w14:paraId="46EBA328" w14:textId="77777777" w:rsidR="00337066" w:rsidRDefault="00337066" w:rsidP="00337066">
      <w:pPr>
        <w:spacing w:after="0" w:line="240" w:lineRule="auto"/>
        <w:jc w:val="both"/>
      </w:pPr>
    </w:p>
    <w:p w14:paraId="3E106AA0" w14:textId="4CB1062D" w:rsidR="00F41E4D" w:rsidRDefault="007F7606" w:rsidP="00F41E4D">
      <w:pPr>
        <w:spacing w:after="0"/>
        <w:ind w:firstLine="566"/>
        <w:jc w:val="both"/>
      </w:pPr>
      <w:r>
        <w:t xml:space="preserve">Eiropas Savienības Tiesa šajā lietā atzina, ka </w:t>
      </w:r>
      <w:r w:rsidR="00B07E2B">
        <w:t xml:space="preserve">iepirkumā </w:t>
      </w:r>
      <w:r w:rsidR="0018026A" w:rsidRPr="0018026A">
        <w:t>izraudzītā pretendenta pretprasība nevar būt pamats pretendenta celtās prasības noraidīšanai gadījumā, ja abu šo saimnieciskās darbības subjektu iesniegto piedāvājumu atbilstība ir tikusi apstrīdēta tajā pašā procedūrā un tādu pašu iemeslu dēļ. Būtībā šādā situācijā katrs no konkurentiem var atsaukties uz leģitīmu interesi attiecībā uz otra pretendenta iesniegtā piedāvājuma izslēgšanu no dalības procedūrā, kā dēļ līgumslēdzējai iestādei var nebūt iespējams izvēlēties atbilstošu piedāvājumu.</w:t>
      </w:r>
      <w:r w:rsidR="0092256F">
        <w:rPr>
          <w:rStyle w:val="FootnoteReference"/>
        </w:rPr>
        <w:footnoteReference w:id="10"/>
      </w:r>
    </w:p>
    <w:p w14:paraId="7C1E7F2F" w14:textId="27C4B300" w:rsidR="00AF5FF3" w:rsidRDefault="00AF5FF3" w:rsidP="00AF5FF3">
      <w:pPr>
        <w:spacing w:after="0"/>
        <w:ind w:firstLine="566"/>
        <w:jc w:val="both"/>
      </w:pPr>
      <w:r>
        <w:t>Šādā situācijā katram no abiem pretendentiem ir interese iegūt attiecīgo līgumu. Pirmkārt, pretendenta izslēgšanas sekas var būt tādas, ka otrs iegūst līgumu tieši tajā pašā procesā. Otrkārt, gadījumā, ja tiek izslēgti abi pretendenti un tiek rīkota jauna publiskā iepirkuma procedūra, tajā var piedalīties katrs no šiem pretendentiem un tādējādi līgumu iegūt netieši.</w:t>
      </w:r>
      <w:r>
        <w:rPr>
          <w:rStyle w:val="FootnoteReference"/>
        </w:rPr>
        <w:footnoteReference w:id="11"/>
      </w:r>
    </w:p>
    <w:p w14:paraId="401D5859" w14:textId="06FEAB4E" w:rsidR="00A84FC7" w:rsidRDefault="008851DB" w:rsidP="00302C6E">
      <w:pPr>
        <w:spacing w:after="0"/>
        <w:ind w:firstLine="567"/>
        <w:jc w:val="both"/>
      </w:pPr>
      <w:r>
        <w:t>Ša</w:t>
      </w:r>
      <w:r w:rsidR="00AF5FF3">
        <w:t>jā lietā Eiropas Savienības Tiesa atzina, ja</w:t>
      </w:r>
      <w:r w:rsidR="00CB4956" w:rsidRPr="00CB4956">
        <w:t xml:space="preserve"> izraudzītais pretendents, kurš ir ieguvis līguma slēgšanas tiesības un ir cēlis pretprasību, pārsūdzības procedūras ietvaros ir izvirzījis iebildi par nepieņemamību, kas ir pamatota ar šo pārsūdzību ierosinājušā pretendenta tiesību celt prasību neesamību, pamatojoties uz to, ka līgumslēdzējai iestādei tā iesniegtais piedāvājums bija jānoraida tā neatbilstības publiskā iepirkuma specifikācijās paredzētajām tehniskajām specifikācijām dēļ, </w:t>
      </w:r>
      <w:r w:rsidR="00DB5574">
        <w:t>Direktīvas </w:t>
      </w:r>
      <w:r w:rsidR="00CB4956">
        <w:t>89/665 1.</w:t>
      </w:r>
      <w:r w:rsidR="00CB4956" w:rsidRPr="00CB4956">
        <w:t xml:space="preserve">panta </w:t>
      </w:r>
      <w:r w:rsidR="00CB4956">
        <w:t>3.</w:t>
      </w:r>
      <w:r w:rsidR="00CB4956" w:rsidRPr="00CB4956">
        <w:t xml:space="preserve">punkts liedz pēc iepriekšējas šīs iebildes par nepieņemamību izvērtēšanas atzīt šo prasību par nepieņemamu, nelemjot par to, vai gan izraudzītā pretendenta, kurš bija ieguvis līguma slēgšanas tiesības, iesniegtais </w:t>
      </w:r>
      <w:r w:rsidR="00CB4956" w:rsidRPr="00CB4956">
        <w:lastRenderedPageBreak/>
        <w:t>piedāvājums, gan pretendenta, kurš ir cēlis pamatprasību, iesniegtais piedāvājums atbilda minētajām tehniskajām specifikācijām.</w:t>
      </w:r>
      <w:r w:rsidR="00CB4956">
        <w:rPr>
          <w:rStyle w:val="FootnoteReference"/>
        </w:rPr>
        <w:footnoteReference w:id="12"/>
      </w:r>
    </w:p>
    <w:p w14:paraId="37BF4721" w14:textId="77777777" w:rsidR="008575E6" w:rsidRDefault="008575E6" w:rsidP="0092256F">
      <w:pPr>
        <w:spacing w:after="0"/>
        <w:ind w:firstLine="566"/>
        <w:jc w:val="both"/>
      </w:pPr>
    </w:p>
    <w:p w14:paraId="213AAE70" w14:textId="77777777" w:rsidR="0081678C" w:rsidRDefault="0081678C" w:rsidP="00F41E4D">
      <w:pPr>
        <w:spacing w:after="0"/>
        <w:ind w:firstLine="566"/>
        <w:jc w:val="both"/>
        <w:rPr>
          <w:b/>
        </w:rPr>
      </w:pPr>
    </w:p>
    <w:p w14:paraId="6342C711" w14:textId="77777777" w:rsidR="0081678C" w:rsidRDefault="0081678C" w:rsidP="00F41E4D">
      <w:pPr>
        <w:spacing w:after="0"/>
        <w:ind w:firstLine="566"/>
        <w:jc w:val="both"/>
        <w:rPr>
          <w:b/>
        </w:rPr>
      </w:pPr>
    </w:p>
    <w:p w14:paraId="13DBC2DA" w14:textId="77777777" w:rsidR="0081678C" w:rsidRDefault="0081678C" w:rsidP="00F41E4D">
      <w:pPr>
        <w:spacing w:after="0"/>
        <w:ind w:firstLine="566"/>
        <w:jc w:val="both"/>
        <w:rPr>
          <w:b/>
        </w:rPr>
      </w:pPr>
    </w:p>
    <w:p w14:paraId="6FE56563" w14:textId="60A2511D" w:rsidR="005A675A" w:rsidRDefault="005A675A" w:rsidP="00F41E4D">
      <w:pPr>
        <w:spacing w:after="0"/>
        <w:ind w:firstLine="566"/>
        <w:jc w:val="both"/>
        <w:rPr>
          <w:b/>
        </w:rPr>
      </w:pPr>
      <w:r w:rsidRPr="005A675A">
        <w:rPr>
          <w:b/>
        </w:rPr>
        <w:t>Iestādes galīgi izslēgta pretendenta tiesības celt prasību pret vēl</w:t>
      </w:r>
      <w:r w:rsidR="008E44A1">
        <w:rPr>
          <w:b/>
        </w:rPr>
        <w:t>āku</w:t>
      </w:r>
      <w:r w:rsidRPr="005A675A">
        <w:rPr>
          <w:b/>
        </w:rPr>
        <w:t xml:space="preserve"> lēmumu par līguma slēgšanas tiesību piešķiršanu konkurentam</w:t>
      </w:r>
    </w:p>
    <w:p w14:paraId="2B37D4E5" w14:textId="77777777" w:rsidR="007110C4" w:rsidRPr="005A675A" w:rsidRDefault="007110C4" w:rsidP="00F41E4D">
      <w:pPr>
        <w:spacing w:after="0"/>
        <w:ind w:firstLine="566"/>
        <w:jc w:val="both"/>
        <w:rPr>
          <w:b/>
        </w:rPr>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4100CB" w:rsidRPr="00381475" w14:paraId="590B8232" w14:textId="77777777" w:rsidTr="006F5810">
        <w:tc>
          <w:tcPr>
            <w:tcW w:w="7932" w:type="dxa"/>
            <w:shd w:val="clear" w:color="auto" w:fill="F2F2F2" w:themeFill="background1" w:themeFillShade="F2"/>
          </w:tcPr>
          <w:p w14:paraId="3592E572" w14:textId="4068A9E1" w:rsidR="00707D05" w:rsidRPr="00381475" w:rsidRDefault="004100CB" w:rsidP="00977514">
            <w:pPr>
              <w:ind w:firstLine="720"/>
              <w:jc w:val="both"/>
            </w:pPr>
            <w:r>
              <w:t>Lietā „</w:t>
            </w:r>
            <w:r w:rsidR="009C52EA" w:rsidRPr="009C52EA">
              <w:t xml:space="preserve">Technische Gebäudebetreuung </w:t>
            </w:r>
            <w:r w:rsidR="009C52EA">
              <w:t>un</w:t>
            </w:r>
            <w:r w:rsidR="009C52EA" w:rsidRPr="009C52EA">
              <w:t xml:space="preserve"> Caverion Österreich</w:t>
            </w:r>
            <w:r>
              <w:t>”</w:t>
            </w:r>
            <w:r w:rsidR="003C733B">
              <w:t xml:space="preserve"> iepirkumā </w:t>
            </w:r>
            <w:r w:rsidR="005F5A4E">
              <w:t xml:space="preserve">piedalījās un </w:t>
            </w:r>
            <w:r w:rsidR="003C733B">
              <w:t xml:space="preserve">piedāvājumus iesniedza divi pretendenti – pieteicēja un tās konkurents </w:t>
            </w:r>
            <w:r w:rsidR="003C733B">
              <w:rPr>
                <w:i/>
              </w:rPr>
              <w:t xml:space="preserve">Vamed. </w:t>
            </w:r>
            <w:r w:rsidR="005F5A4E">
              <w:t xml:space="preserve">Vēlāk iestāde izslēdza </w:t>
            </w:r>
            <w:r w:rsidR="008E44A1">
              <w:t xml:space="preserve">no </w:t>
            </w:r>
            <w:r w:rsidR="00340311">
              <w:t>iepirkuma pieteicēju</w:t>
            </w:r>
            <w:r w:rsidR="00CB3D26">
              <w:t xml:space="preserve">, jo tā noteiktajā termiņā neiesniedza pieprasītos pierādījumus. </w:t>
            </w:r>
            <w:r w:rsidR="008E1DFC">
              <w:t xml:space="preserve">Ar nacionālās tiesas spriedumu, </w:t>
            </w:r>
            <w:r w:rsidR="001328FC">
              <w:t xml:space="preserve">kas stājies spēkā, </w:t>
            </w:r>
            <w:r w:rsidR="008E1DFC">
              <w:t>šis iestādes lēmums tika atzīts par pareizu</w:t>
            </w:r>
            <w:r w:rsidR="00977514">
              <w:t>, bet pieteicējas sūdz</w:t>
            </w:r>
            <w:r w:rsidR="00C51284">
              <w:t>ība</w:t>
            </w:r>
            <w:r w:rsidR="00977514">
              <w:t xml:space="preserve"> noraidīta</w:t>
            </w:r>
            <w:r w:rsidR="008E1DFC">
              <w:t xml:space="preserve">. </w:t>
            </w:r>
          </w:p>
          <w:p w14:paraId="195E7DC4" w14:textId="2C123B23" w:rsidR="00C35790" w:rsidRPr="00A967CD" w:rsidRDefault="00F63801" w:rsidP="00C35790">
            <w:pPr>
              <w:ind w:firstLine="720"/>
              <w:jc w:val="both"/>
            </w:pPr>
            <w:r>
              <w:t xml:space="preserve">Iepirkuma procedūras noslēgumā līguma slēgšanas tiesības tika piešķirtas pieteicējas konkurentei </w:t>
            </w:r>
            <w:r w:rsidR="00B15620">
              <w:rPr>
                <w:i/>
              </w:rPr>
              <w:t xml:space="preserve">Vamed. </w:t>
            </w:r>
            <w:r w:rsidR="00AC65C6">
              <w:t xml:space="preserve">Neraugoties uz to, ka pieteicēja iepirkumā sākotnēji </w:t>
            </w:r>
            <w:r w:rsidR="00CF1FEF">
              <w:t>bija</w:t>
            </w:r>
            <w:r w:rsidR="00AC65C6">
              <w:t xml:space="preserve"> izslēgta, tā cēla prasību tiesā pret līguma slēgšanas tiesību piešķiršanu </w:t>
            </w:r>
            <w:r w:rsidR="00E75C92">
              <w:rPr>
                <w:i/>
              </w:rPr>
              <w:t xml:space="preserve">Vamed. </w:t>
            </w:r>
            <w:r w:rsidR="00373A89">
              <w:t>Pieteicēja lietā, atsaucoties uz Eiropas Savienības Tiesas spriedumu lietā</w:t>
            </w:r>
            <w:r w:rsidR="00E44862">
              <w:rPr>
                <w:i/>
              </w:rPr>
              <w:t xml:space="preserve"> Fastweb</w:t>
            </w:r>
            <w:r w:rsidR="00E44862">
              <w:t>, C-100/12,</w:t>
            </w:r>
            <w:r w:rsidR="00373A89">
              <w:t xml:space="preserve"> apgalvoja, ka tai ir tiesības pārsūdzēt līguma slēgšanas </w:t>
            </w:r>
            <w:r w:rsidR="00140C44">
              <w:t xml:space="preserve">tiesības piešķirošo </w:t>
            </w:r>
            <w:r w:rsidR="00373A89">
              <w:t>l</w:t>
            </w:r>
            <w:r w:rsidR="00140C44">
              <w:t xml:space="preserve">ēmumu. </w:t>
            </w:r>
            <w:r w:rsidR="00C736FA">
              <w:t>Eiropas Savienības Tiesa lietā atzina, ka pieteicējas atsauce uz norādīto lietu ir nepamatota.</w:t>
            </w:r>
            <w:r w:rsidR="00C47D04">
              <w:rPr>
                <w:rStyle w:val="FootnoteReference"/>
              </w:rPr>
              <w:footnoteReference w:id="13"/>
            </w:r>
          </w:p>
        </w:tc>
      </w:tr>
    </w:tbl>
    <w:p w14:paraId="298EA8A2" w14:textId="77777777" w:rsidR="004100CB" w:rsidRDefault="004100CB" w:rsidP="004100CB">
      <w:pPr>
        <w:spacing w:after="0" w:line="240" w:lineRule="auto"/>
        <w:jc w:val="both"/>
      </w:pPr>
    </w:p>
    <w:p w14:paraId="4F4154BD" w14:textId="406419DC" w:rsidR="000C1C46" w:rsidRDefault="000C1C46" w:rsidP="00E732AF">
      <w:pPr>
        <w:spacing w:after="0"/>
        <w:ind w:firstLine="567"/>
        <w:jc w:val="both"/>
      </w:pPr>
      <w:r>
        <w:tab/>
      </w:r>
      <w:r w:rsidR="00D726AC">
        <w:t xml:space="preserve">Minētajā lietā Eiropas Savienības Tiesa atzina, ka </w:t>
      </w:r>
      <w:r w:rsidR="00C47D04">
        <w:t>Direktīvas 89/665 1.panta 3.</w:t>
      </w:r>
      <w:r w:rsidR="00C47D04" w:rsidRPr="00C47D04">
        <w:t>punkts pieļauj to, ka pretendentam, kas tika izslēgts no publiskā iepirkuma procedūras ar līgumslēdzējas iestādes lēmumu, kurš ir kļuvis galīgs,</w:t>
      </w:r>
      <w:r w:rsidR="00404FB2">
        <w:rPr>
          <w:rStyle w:val="FootnoteReference"/>
        </w:rPr>
        <w:footnoteReference w:id="14"/>
      </w:r>
      <w:r w:rsidR="00C47D04" w:rsidRPr="00C47D04">
        <w:t xml:space="preserve"> tiek atteikta pieeja pārbaudes procedūrām par lēmumu par attiecīgā publiskā iepirkuma līguma slēgšanas tiesību piešķiršanu un līguma noslēgšanu, ja savus piedāvājumus ir iesnieguši tikai šis noraidītais pretendents un izraudzītais pretendents un ja minētais pretendents apgalvo, ka šī izraudzītā pretendenta piedāvājums arī esot bijis jānoraida.</w:t>
      </w:r>
      <w:r w:rsidR="00C47D04">
        <w:rPr>
          <w:rStyle w:val="FootnoteReference"/>
        </w:rPr>
        <w:footnoteReference w:id="15"/>
      </w:r>
    </w:p>
    <w:p w14:paraId="32BD323A" w14:textId="77777777" w:rsidR="005A675A" w:rsidRDefault="005A675A" w:rsidP="00F41E4D">
      <w:pPr>
        <w:spacing w:after="0"/>
        <w:ind w:firstLine="566"/>
        <w:jc w:val="both"/>
      </w:pPr>
    </w:p>
    <w:p w14:paraId="2A10B8D5" w14:textId="485D1602" w:rsidR="00905C17" w:rsidRPr="00951BA2" w:rsidRDefault="00951BA2" w:rsidP="00F41E4D">
      <w:pPr>
        <w:spacing w:after="0"/>
        <w:ind w:firstLine="566"/>
        <w:jc w:val="both"/>
        <w:rPr>
          <w:b/>
        </w:rPr>
      </w:pPr>
      <w:r w:rsidRPr="00951BA2">
        <w:rPr>
          <w:b/>
        </w:rPr>
        <w:t>Sagatavojošo tiesību aktu jeb starplēmumu pārsūdzēšana publisko iepirkumu jomā</w:t>
      </w:r>
    </w:p>
    <w:p w14:paraId="478EDFD7" w14:textId="77777777" w:rsidR="00232E9A" w:rsidRPr="005A675A" w:rsidRDefault="00232E9A" w:rsidP="000D7F9B">
      <w:pPr>
        <w:spacing w:after="0"/>
        <w:jc w:val="both"/>
        <w:rPr>
          <w:b/>
        </w:rPr>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232E9A" w:rsidRPr="00381475" w14:paraId="416244CA" w14:textId="77777777" w:rsidTr="006F5810">
        <w:tc>
          <w:tcPr>
            <w:tcW w:w="7932" w:type="dxa"/>
            <w:shd w:val="clear" w:color="auto" w:fill="F2F2F2" w:themeFill="background1" w:themeFillShade="F2"/>
          </w:tcPr>
          <w:p w14:paraId="1E411D09" w14:textId="310BB030" w:rsidR="00232E9A" w:rsidRDefault="00232E9A" w:rsidP="000F321A">
            <w:pPr>
              <w:ind w:firstLine="720"/>
              <w:jc w:val="both"/>
            </w:pPr>
            <w:r>
              <w:t>Lietā „</w:t>
            </w:r>
            <w:r w:rsidR="006758A5" w:rsidRPr="006758A5">
              <w:t>Marina del Mediterráneo</w:t>
            </w:r>
            <w:r>
              <w:t xml:space="preserve">” </w:t>
            </w:r>
            <w:r w:rsidR="006758A5">
              <w:t xml:space="preserve">aplūkots </w:t>
            </w:r>
            <w:r w:rsidR="000F321A">
              <w:t>Spānijas regulējums</w:t>
            </w:r>
            <w:r w:rsidR="001E4F3C">
              <w:t>,</w:t>
            </w:r>
            <w:r w:rsidR="000F321A">
              <w:t xml:space="preserve"> saskaņā ar kuru </w:t>
            </w:r>
            <w:r w:rsidR="003461DE" w:rsidRPr="003461DE">
              <w:t xml:space="preserve">ir atļauts celt patstāvīgu prasību par sagatavojošiem aktiem, ar kuriem </w:t>
            </w:r>
            <w:r w:rsidR="003461DE" w:rsidRPr="003461DE">
              <w:lastRenderedPageBreak/>
              <w:t xml:space="preserve">tieši vai netieši ir izlemts par līguma slēgšanas tiesību piešķiršanu, </w:t>
            </w:r>
            <w:r w:rsidR="00886D97">
              <w:t>kas</w:t>
            </w:r>
            <w:r w:rsidR="00886D97" w:rsidRPr="003461DE">
              <w:t xml:space="preserve"> </w:t>
            </w:r>
            <w:r w:rsidR="003461DE" w:rsidRPr="003461DE">
              <w:t>padara neiespējamu procedūras turpināšanu vai aizstāvību vai rada neatgriezenisku kaitējumu leģitīmām tiesībām vai interesēm</w:t>
            </w:r>
            <w:r w:rsidR="00886D97">
              <w:t>.</w:t>
            </w:r>
            <w:r w:rsidR="003461DE" w:rsidRPr="003461DE">
              <w:t xml:space="preserve"> </w:t>
            </w:r>
            <w:r w:rsidR="00886D97">
              <w:t>C</w:t>
            </w:r>
            <w:r w:rsidR="003461DE" w:rsidRPr="003461DE">
              <w:t>iti sagatavojoši akti, tādi kā lēmums pielaist pretendentu dalībai procedūrā</w:t>
            </w:r>
            <w:r w:rsidR="00886D97">
              <w:t>,</w:t>
            </w:r>
            <w:r w:rsidR="003461DE" w:rsidRPr="003461DE">
              <w:t xml:space="preserve"> ir pārsūdzami tikai, ceļot prasību par lēmumu par publiskā iepirkuma līguma slēgšanas tiesību piešķiršanu.</w:t>
            </w:r>
          </w:p>
          <w:p w14:paraId="36BB1004" w14:textId="259F3A2B" w:rsidR="000F321A" w:rsidRPr="00A967CD" w:rsidRDefault="000F321A" w:rsidP="0030037F">
            <w:pPr>
              <w:ind w:firstLine="720"/>
              <w:jc w:val="both"/>
            </w:pPr>
            <w:r>
              <w:t>Spānijas tiesa uzdeva prejudiciālo jautājumu par to, vai šāds regulējums</w:t>
            </w:r>
            <w:r w:rsidR="00F554CD">
              <w:t xml:space="preserve"> ir pretrunā </w:t>
            </w:r>
            <w:r w:rsidR="001439FE">
              <w:t xml:space="preserve">Eiropas Savienības tiesībām. </w:t>
            </w:r>
            <w:r w:rsidR="00980FE7">
              <w:t xml:space="preserve">Eiropas Savienības Tiesa šajā lietā atzina, ka </w:t>
            </w:r>
            <w:r w:rsidR="0030037F" w:rsidRPr="0030037F">
              <w:t>tas, ka valsts tiesiskajā regulējumā, uz kuru attiecas pamatlieta, katrā ziņā ir prasīts, lai pretendents nogaida attiecīgo lēmumu par līguma slēgšanas tiesību piešķiršanu, pirms tas var celt prasību par cita pretendenta pielaišanu, ir pretrunā Direktīvas 89/665 normām.</w:t>
            </w:r>
            <w:r w:rsidR="0030037F">
              <w:rPr>
                <w:rStyle w:val="FootnoteReference"/>
              </w:rPr>
              <w:footnoteReference w:id="16"/>
            </w:r>
            <w:r>
              <w:t xml:space="preserve"> </w:t>
            </w:r>
          </w:p>
        </w:tc>
      </w:tr>
    </w:tbl>
    <w:p w14:paraId="71F5E354" w14:textId="77777777" w:rsidR="00232E9A" w:rsidRDefault="00232E9A" w:rsidP="00232E9A">
      <w:pPr>
        <w:spacing w:after="0" w:line="240" w:lineRule="auto"/>
        <w:jc w:val="both"/>
      </w:pPr>
    </w:p>
    <w:p w14:paraId="2F1F6C8E" w14:textId="77777777" w:rsidR="00173326" w:rsidRDefault="00173326" w:rsidP="00265F2C">
      <w:pPr>
        <w:spacing w:after="0"/>
        <w:ind w:firstLine="566"/>
        <w:jc w:val="both"/>
      </w:pPr>
    </w:p>
    <w:p w14:paraId="63945974" w14:textId="332B243A" w:rsidR="00173326" w:rsidRPr="008538D6" w:rsidRDefault="00087069" w:rsidP="00265F2C">
      <w:pPr>
        <w:spacing w:after="0"/>
        <w:ind w:firstLine="566"/>
        <w:jc w:val="both"/>
        <w:rPr>
          <w:b/>
        </w:rPr>
      </w:pPr>
      <w:r w:rsidRPr="008538D6">
        <w:rPr>
          <w:b/>
        </w:rPr>
        <w:t>1) </w:t>
      </w:r>
      <w:r w:rsidR="008538D6">
        <w:rPr>
          <w:b/>
        </w:rPr>
        <w:t>Jēdziena “l</w:t>
      </w:r>
      <w:r w:rsidR="008538D6" w:rsidRPr="008538D6">
        <w:rPr>
          <w:b/>
        </w:rPr>
        <w:t>ēmum</w:t>
      </w:r>
      <w:r w:rsidR="00302C6E">
        <w:rPr>
          <w:b/>
        </w:rPr>
        <w:t>s</w:t>
      </w:r>
      <w:r w:rsidR="008538D6">
        <w:rPr>
          <w:b/>
        </w:rPr>
        <w:t>”</w:t>
      </w:r>
      <w:r w:rsidR="008538D6" w:rsidRPr="008538D6">
        <w:rPr>
          <w:b/>
        </w:rPr>
        <w:t xml:space="preserve"> izpratne</w:t>
      </w:r>
      <w:r w:rsidR="00D10876">
        <w:rPr>
          <w:b/>
        </w:rPr>
        <w:t xml:space="preserve"> Direktīvā</w:t>
      </w:r>
      <w:r w:rsidR="00D10876" w:rsidRPr="00D10876">
        <w:rPr>
          <w:b/>
        </w:rPr>
        <w:t xml:space="preserve"> 89/665</w:t>
      </w:r>
    </w:p>
    <w:p w14:paraId="362234E7" w14:textId="2872EB9E" w:rsidR="00951BA2" w:rsidRDefault="00173326" w:rsidP="00265F2C">
      <w:pPr>
        <w:spacing w:after="0"/>
        <w:ind w:firstLine="566"/>
        <w:jc w:val="both"/>
      </w:pPr>
      <w:r>
        <w:t>Direktīvas 89/665 1.</w:t>
      </w:r>
      <w:r w:rsidR="00265F2C">
        <w:t>panta 1.punktā, izmantojot formulējumu “attiecībā uz līgumiem”, ir paredzēts nosacījums, ka uz ikvienu līgumslēdzējas iestādes lēmumu, kurš attiecas uz noteikumiem, kas izriet no</w:t>
      </w:r>
      <w:r w:rsidR="00D74C2D">
        <w:t xml:space="preserve"> Eiropas</w:t>
      </w:r>
      <w:r w:rsidR="00265F2C">
        <w:t xml:space="preserve"> Savienības tiesībām publiskā iepirkuma jomā, un ar kuru tie var tikt pārkāpti, ir jāat</w:t>
      </w:r>
      <w:r>
        <w:t>tiecina šīs pašas direktīvas 2.panta 1.</w:t>
      </w:r>
      <w:r w:rsidR="00265F2C">
        <w:t xml:space="preserve">punkta </w:t>
      </w:r>
      <w:r>
        <w:t>“</w:t>
      </w:r>
      <w:r w:rsidR="00265F2C">
        <w:t>a</w:t>
      </w:r>
      <w:r>
        <w:t>”</w:t>
      </w:r>
      <w:r w:rsidR="00265F2C">
        <w:t xml:space="preserve"> un </w:t>
      </w:r>
      <w:r>
        <w:t>“</w:t>
      </w:r>
      <w:r w:rsidR="00265F2C">
        <w:t>b</w:t>
      </w:r>
      <w:r>
        <w:t>”</w:t>
      </w:r>
      <w:r w:rsidR="00265F2C">
        <w:t xml:space="preserve"> apakšpunktā paredzētā pārbaude tiesā. Šajā tiesību normā tādējādi ir ietverta vispārēja atsauce uz līgumslēdzējas iestādes lēmumiem, nenošķirot šos lēmumus pēc to satura vai pieņemšanas brīža</w:t>
      </w:r>
      <w:r>
        <w:t>.</w:t>
      </w:r>
      <w:r>
        <w:rPr>
          <w:rStyle w:val="FootnoteReference"/>
        </w:rPr>
        <w:footnoteReference w:id="17"/>
      </w:r>
      <w:r w:rsidR="00265F2C">
        <w:t xml:space="preserve"> Šo jēdziena līgumslēdzējas iestādes “lēmums” plašo izpratni apstiprina fakts, ka šīs </w:t>
      </w:r>
      <w:r>
        <w:t>Direktīvas 89/665 1.panta 1.</w:t>
      </w:r>
      <w:r w:rsidR="00265F2C">
        <w:t>punktā ietvertajā tiesību normā nav paredzēts nekāds ierobežojums attiecībā uz tajā minēto lēmumu raksturu un saturu.</w:t>
      </w:r>
      <w:r w:rsidR="00087069">
        <w:rPr>
          <w:rStyle w:val="FootnoteReference"/>
        </w:rPr>
        <w:footnoteReference w:id="18"/>
      </w:r>
      <w:r w:rsidR="007F4DB1">
        <w:t xml:space="preserve"> </w:t>
      </w:r>
      <w:r w:rsidR="001E378B">
        <w:t>L</w:t>
      </w:r>
      <w:r w:rsidR="001E378B" w:rsidRPr="001E378B">
        <w:t>ēmums, ar ko pretendents tiek pielaists dalībai tādā iepirkuma procedūrā</w:t>
      </w:r>
      <w:r w:rsidR="00886D97">
        <w:t>,</w:t>
      </w:r>
      <w:r w:rsidR="001E378B" w:rsidRPr="001E378B">
        <w:t xml:space="preserve"> </w:t>
      </w:r>
      <w:r w:rsidR="00B573E7">
        <w:t>ir lēmums minētās direktīvas 1.panta 1.</w:t>
      </w:r>
      <w:r w:rsidR="001E378B" w:rsidRPr="001E378B">
        <w:t>punkta izpratnē.</w:t>
      </w:r>
      <w:r w:rsidR="00B573E7">
        <w:rPr>
          <w:rStyle w:val="FootnoteReference"/>
        </w:rPr>
        <w:footnoteReference w:id="19"/>
      </w:r>
    </w:p>
    <w:p w14:paraId="657905A8" w14:textId="77777777" w:rsidR="0072351A" w:rsidRDefault="0072351A" w:rsidP="00265F2C">
      <w:pPr>
        <w:spacing w:after="0"/>
        <w:ind w:firstLine="566"/>
        <w:jc w:val="both"/>
      </w:pPr>
    </w:p>
    <w:p w14:paraId="6EDAE86D" w14:textId="2E5C002D" w:rsidR="0072351A" w:rsidRPr="00DE0AB5" w:rsidRDefault="00943C23" w:rsidP="00265F2C">
      <w:pPr>
        <w:spacing w:after="0"/>
        <w:ind w:firstLine="566"/>
        <w:jc w:val="both"/>
        <w:rPr>
          <w:b/>
        </w:rPr>
      </w:pPr>
      <w:r w:rsidRPr="00DE0AB5">
        <w:rPr>
          <w:b/>
        </w:rPr>
        <w:t>2) Brīdis, no kura ir jābūt iespējai celt prasību</w:t>
      </w:r>
    </w:p>
    <w:p w14:paraId="6BA2D72A" w14:textId="3094DE33" w:rsidR="00D42CB6" w:rsidRDefault="00DE0AB5" w:rsidP="009202BF">
      <w:pPr>
        <w:spacing w:after="0"/>
        <w:ind w:firstLine="566"/>
        <w:jc w:val="both"/>
      </w:pPr>
      <w:r w:rsidRPr="00DE0AB5">
        <w:t xml:space="preserve">Direktīvas 89/665 mērķis ir pastiprināt esošos mehānismus gan valstu, gan </w:t>
      </w:r>
      <w:r>
        <w:t xml:space="preserve">Eiropas </w:t>
      </w:r>
      <w:r w:rsidRPr="00DE0AB5">
        <w:t>Savienības līmenī, lai nodrošinātu ar publisko iepirkumu saistīto direktīvu efektīvu piemērošanu, īpaši stadijā, kad pārkāpumus vēl var i</w:t>
      </w:r>
      <w:r>
        <w:t>zlabot. Tādēļ šīs direktīvas 1.panta 1.</w:t>
      </w:r>
      <w:r w:rsidRPr="00DE0AB5">
        <w:t xml:space="preserve">punkta trešajā daļā dalībvalstīm </w:t>
      </w:r>
      <w:r>
        <w:t>ir noteikts pienākums “nodrošināt</w:t>
      </w:r>
      <w:r w:rsidRPr="00DE0AB5">
        <w:t xml:space="preserve"> to, ka [..] līgumslēdzēju iestāžu lēmumus var efektīvi un, jo īpaši, iespējami ātri pārskatīt”</w:t>
      </w:r>
      <w:r w:rsidR="00324681">
        <w:t>.</w:t>
      </w:r>
      <w:r>
        <w:rPr>
          <w:rStyle w:val="FootnoteReference"/>
        </w:rPr>
        <w:footnoteReference w:id="20"/>
      </w:r>
      <w:r w:rsidRPr="00DE0AB5">
        <w:t xml:space="preserve"> </w:t>
      </w:r>
      <w:r w:rsidR="009202BF">
        <w:t>L</w:t>
      </w:r>
      <w:r w:rsidR="00D42CB6" w:rsidRPr="00D42CB6">
        <w:t>ai gan Direktīvā 89/665 formāli nav paredzēt</w:t>
      </w:r>
      <w:r w:rsidR="006256C5">
        <w:t>s brīdis, no kura pastāv tās 1.panta 1.</w:t>
      </w:r>
      <w:r w:rsidR="00D42CB6" w:rsidRPr="00D42CB6">
        <w:t>punktā paredzētā iespēja celt prasību, atbilstoši minētās direktīvas mērķim</w:t>
      </w:r>
      <w:r w:rsidR="006256C5">
        <w:t xml:space="preserve"> </w:t>
      </w:r>
      <w:r w:rsidR="00D42CB6" w:rsidRPr="00D42CB6">
        <w:t xml:space="preserve">dalībvalstīm nav atļauts tiesību celt prasību </w:t>
      </w:r>
      <w:r w:rsidR="00D42CB6" w:rsidRPr="00D42CB6">
        <w:lastRenderedPageBreak/>
        <w:t>izmantošanu pakārtot apstāklim, ka attiecīgā iepirkuma procedūra ir formāli sasniegusi noteiktu stadiju</w:t>
      </w:r>
      <w:r w:rsidR="006256C5">
        <w:t>.</w:t>
      </w:r>
      <w:r w:rsidR="006256C5">
        <w:rPr>
          <w:rStyle w:val="FootnoteReference"/>
        </w:rPr>
        <w:footnoteReference w:id="21"/>
      </w:r>
      <w:r w:rsidR="00D42CB6" w:rsidRPr="00D42CB6">
        <w:t xml:space="preserve"> </w:t>
      </w:r>
    </w:p>
    <w:p w14:paraId="412429FA" w14:textId="72FE81E9" w:rsidR="00440801" w:rsidRDefault="00440801" w:rsidP="009202BF">
      <w:pPr>
        <w:spacing w:after="0"/>
        <w:ind w:firstLine="566"/>
        <w:jc w:val="both"/>
      </w:pPr>
      <w:r w:rsidRPr="00440801">
        <w:t xml:space="preserve">Ja nav </w:t>
      </w:r>
      <w:r w:rsidR="00870DE0">
        <w:t xml:space="preserve">Eiropas </w:t>
      </w:r>
      <w:r w:rsidRPr="00440801">
        <w:t>Savienības tiesiskā regulējuma, kurā būtu noteikts brīdis, no kura būtu jāpastāv iespējai celt prasību, valsts tiesībās ir jāparedz tiesvedības noteikumi, kuru mērķis ir nodrošināt, lai tiktu aizsargātas tiesības, kuras tiesību subjektam izriet no</w:t>
      </w:r>
      <w:r w:rsidR="00870DE0">
        <w:t xml:space="preserve"> Eiropas </w:t>
      </w:r>
      <w:r w:rsidRPr="00440801">
        <w:t xml:space="preserve">Savienības tiesībām. Šie procesuālie noteikumi tomēr nedrīkst būt nelabvēlīgāki par noteikumiem, kas attiecas uz līdzīgām prasībām, kuru mērķis ir no valsts tiesību sistēmas izrietošo tiesību aizsardzība (līdzvērtības princips), un nedrīkst padarīt praktiski neiespējamu vai pārmērīgi apgrūtināt </w:t>
      </w:r>
      <w:r w:rsidR="00870DE0">
        <w:t xml:space="preserve">Eiropas </w:t>
      </w:r>
      <w:r w:rsidRPr="00440801">
        <w:t>Savienības tiesību sistēmā piešķirto tiesību izmantošanu</w:t>
      </w:r>
      <w:r w:rsidR="00870DE0">
        <w:t>.</w:t>
      </w:r>
      <w:r w:rsidRPr="00440801">
        <w:t xml:space="preserve"> </w:t>
      </w:r>
      <w:r w:rsidR="00DA1A2E">
        <w:t xml:space="preserve">Turklāt ar </w:t>
      </w:r>
      <w:r w:rsidR="000B63DD" w:rsidRPr="000B63DD">
        <w:t xml:space="preserve">pārsūdzēšanas tiesā procesuālajiem noteikumiem, kuru mērķis ir nodrošināt to tiesību aizsardzību, kas ar </w:t>
      </w:r>
      <w:r w:rsidR="008851DB">
        <w:t xml:space="preserve">Eiropas </w:t>
      </w:r>
      <w:r w:rsidR="000B63DD" w:rsidRPr="000B63DD">
        <w:t>Savienības tiesībām ir piešķirtas kandidātiem un pretendentiem, kuriem ar līgumslēdzēju iestāžu lēmumiem ir nodarīts kaitējums, it īpaši nedrīkst tikt apdraudēta Direktīvas 89/665 lietderīgā iedarbība</w:t>
      </w:r>
      <w:r w:rsidR="000B63DD">
        <w:t>.</w:t>
      </w:r>
      <w:r w:rsidR="000B63DD">
        <w:rPr>
          <w:rStyle w:val="FootnoteReference"/>
        </w:rPr>
        <w:footnoteReference w:id="22"/>
      </w:r>
    </w:p>
    <w:p w14:paraId="3A1B3CB4" w14:textId="47074011" w:rsidR="00FB5053" w:rsidRDefault="00F41E4D">
      <w:pPr>
        <w:spacing w:after="160" w:line="259" w:lineRule="auto"/>
        <w:rPr>
          <w:rFonts w:eastAsiaTheme="majorEastAsia" w:cstheme="majorBidi"/>
          <w:b/>
          <w:caps/>
          <w:sz w:val="28"/>
          <w:szCs w:val="26"/>
        </w:rPr>
      </w:pPr>
      <w:r>
        <w:br w:type="column"/>
      </w:r>
    </w:p>
    <w:p w14:paraId="4D004EF2" w14:textId="4FD091DC" w:rsidR="00F8229F" w:rsidRPr="00F8229F" w:rsidRDefault="00F8229F" w:rsidP="005E1CD2">
      <w:pPr>
        <w:pStyle w:val="Heading2"/>
      </w:pPr>
      <w:bookmarkStart w:id="11" w:name="_Toc491088010"/>
      <w:r w:rsidRPr="005E1CD2">
        <w:t>Materiāltiesiskie</w:t>
      </w:r>
      <w:r w:rsidRPr="00F8229F">
        <w:t xml:space="preserve"> aspekti</w:t>
      </w:r>
      <w:bookmarkEnd w:id="11"/>
    </w:p>
    <w:p w14:paraId="1FE16FDC" w14:textId="77777777" w:rsidR="00F8229F" w:rsidRDefault="00F8229F" w:rsidP="00270EB6">
      <w:pPr>
        <w:pStyle w:val="ListParagraph"/>
        <w:spacing w:after="0"/>
        <w:ind w:left="0" w:firstLine="567"/>
        <w:jc w:val="center"/>
        <w:rPr>
          <w:b/>
        </w:rPr>
      </w:pPr>
    </w:p>
    <w:p w14:paraId="268D0B83" w14:textId="77777777" w:rsidR="00F8229F" w:rsidRPr="00B5483C" w:rsidRDefault="003626F4" w:rsidP="00E97214">
      <w:pPr>
        <w:pStyle w:val="Heading3"/>
        <w:numPr>
          <w:ilvl w:val="1"/>
          <w:numId w:val="6"/>
        </w:numPr>
      </w:pPr>
      <w:r>
        <w:t xml:space="preserve"> </w:t>
      </w:r>
      <w:bookmarkStart w:id="12" w:name="_Toc491088011"/>
      <w:r w:rsidR="00F8229F">
        <w:t>Iepirkuma dokumentācija, tajā noteiktās prasības un vērtēšanas kritēriji</w:t>
      </w:r>
      <w:bookmarkEnd w:id="12"/>
    </w:p>
    <w:p w14:paraId="0BFF6A19" w14:textId="77777777" w:rsidR="00A81A21" w:rsidRDefault="00A81A21" w:rsidP="00270EB6">
      <w:pPr>
        <w:spacing w:after="0"/>
        <w:ind w:firstLine="567"/>
        <w:jc w:val="both"/>
      </w:pPr>
    </w:p>
    <w:p w14:paraId="68FC876F" w14:textId="77777777" w:rsidR="00024A02" w:rsidRDefault="00024A02" w:rsidP="0021262B">
      <w:pPr>
        <w:spacing w:after="0"/>
        <w:ind w:firstLine="567"/>
        <w:jc w:val="both"/>
      </w:pPr>
    </w:p>
    <w:p w14:paraId="6DF6B392" w14:textId="5A564A9B" w:rsidR="0093072A" w:rsidRDefault="00616422" w:rsidP="0021262B">
      <w:pPr>
        <w:spacing w:after="0"/>
        <w:ind w:firstLine="567"/>
        <w:jc w:val="both"/>
        <w:rPr>
          <w:b/>
        </w:rPr>
      </w:pPr>
      <w:r>
        <w:rPr>
          <w:b/>
        </w:rPr>
        <w:t>Vispārējie i</w:t>
      </w:r>
      <w:r w:rsidR="00FC4FF4">
        <w:rPr>
          <w:b/>
        </w:rPr>
        <w:t>epirkumu p</w:t>
      </w:r>
      <w:r w:rsidR="0093072A">
        <w:rPr>
          <w:b/>
        </w:rPr>
        <w:t>rocedūras nosacījumi un kārtība</w:t>
      </w:r>
    </w:p>
    <w:p w14:paraId="736CEBBA" w14:textId="77777777" w:rsidR="00425CD7" w:rsidRDefault="00425CD7" w:rsidP="0021262B">
      <w:pPr>
        <w:spacing w:after="0"/>
        <w:ind w:firstLine="567"/>
        <w:jc w:val="both"/>
        <w:rPr>
          <w:b/>
        </w:rPr>
      </w:pPr>
    </w:p>
    <w:p w14:paraId="3AE49926" w14:textId="4BCA0B41" w:rsidR="00024A02" w:rsidRPr="005331A9" w:rsidRDefault="0093072A" w:rsidP="0021262B">
      <w:pPr>
        <w:spacing w:after="0"/>
        <w:ind w:firstLine="567"/>
        <w:jc w:val="both"/>
        <w:rPr>
          <w:b/>
        </w:rPr>
      </w:pPr>
      <w:r>
        <w:rPr>
          <w:b/>
        </w:rPr>
        <w:t>1) </w:t>
      </w:r>
      <w:r w:rsidR="007540E6" w:rsidRPr="005331A9">
        <w:rPr>
          <w:b/>
        </w:rPr>
        <w:t xml:space="preserve">Vienlīdzīgas attieksmes princips un </w:t>
      </w:r>
      <w:r w:rsidR="005331A9" w:rsidRPr="005331A9">
        <w:rPr>
          <w:b/>
        </w:rPr>
        <w:t>pārskatāmības pienākums</w:t>
      </w:r>
    </w:p>
    <w:p w14:paraId="5E27828B" w14:textId="345D308B" w:rsidR="00F8229F" w:rsidRDefault="00216395" w:rsidP="0021262B">
      <w:pPr>
        <w:spacing w:after="0"/>
        <w:ind w:firstLine="567"/>
        <w:jc w:val="both"/>
      </w:pPr>
      <w:r>
        <w:t>P</w:t>
      </w:r>
      <w:r w:rsidRPr="00216395">
        <w:t>irmkārt, vienlīdzīgas attieksmes princips pieprasa, lai pretendentiem būtu vienādas iespējas izteikt savus piedāvājumus</w:t>
      </w:r>
      <w:r w:rsidR="00F02819">
        <w:t>.</w:t>
      </w:r>
      <w:r w:rsidRPr="00216395">
        <w:t xml:space="preserve"> </w:t>
      </w:r>
      <w:r w:rsidR="00F02819">
        <w:t>T</w:t>
      </w:r>
      <w:r w:rsidRPr="00216395">
        <w:t>ātad tas nozīmē, ka visu šo pretendentu piedāvājumiem ir jāpiemēro vienādi nosacījumi. Otrkārt, pārskatāmības pienākuma, kas to papildina, mērķis ir garantēt to, ka no līgumslēdzējas iestādes puses nepastāv favorītisma un patvaļības risks. Šis pienākums nozīmē, ka visiem konkursa procedūras nosacījumiem un kārtībai paziņojumā par līgumu vai specifikācijās jābūt formulētiem skaidri, precīzi un nepārprotami, tā, ka, pirmkārt, jebkuram saprātīgi informētam un parasti rūpīgam pretendentam tiktu ļauts skaidri saprast to piemērojamību un tos interpretēt vienādi</w:t>
      </w:r>
      <w:r w:rsidR="00F02819">
        <w:t>,</w:t>
      </w:r>
      <w:r w:rsidRPr="00216395">
        <w:t xml:space="preserve"> un, otrkārt, līgumslēdzējai iestādei tiktu ļauts efektīvi pārbaudīt, vai pretendentu piedāvājumi atbilst kritērijiem, kuri reglamentē minēto publisko iepirkumu</w:t>
      </w:r>
      <w:r w:rsidR="00D77378">
        <w:t>.</w:t>
      </w:r>
      <w:r w:rsidR="00D77378">
        <w:rPr>
          <w:rStyle w:val="FootnoteReference"/>
        </w:rPr>
        <w:footnoteReference w:id="23"/>
      </w:r>
      <w:r w:rsidRPr="00216395">
        <w:t xml:space="preserve"> </w:t>
      </w:r>
    </w:p>
    <w:p w14:paraId="4EBC0531" w14:textId="77777777" w:rsidR="002E7042" w:rsidRDefault="002E7042" w:rsidP="002E7042">
      <w:pPr>
        <w:spacing w:after="0"/>
        <w:jc w:val="both"/>
      </w:pPr>
    </w:p>
    <w:p w14:paraId="39D5EE92" w14:textId="2DBB0F19" w:rsidR="00037A36" w:rsidRPr="00037A36" w:rsidRDefault="0093072A" w:rsidP="00270EB6">
      <w:pPr>
        <w:spacing w:after="0"/>
        <w:ind w:firstLine="567"/>
        <w:jc w:val="both"/>
        <w:rPr>
          <w:b/>
        </w:rPr>
      </w:pPr>
      <w:r>
        <w:rPr>
          <w:b/>
        </w:rPr>
        <w:t>2</w:t>
      </w:r>
      <w:r w:rsidR="002D5A58">
        <w:rPr>
          <w:b/>
        </w:rPr>
        <w:t>) </w:t>
      </w:r>
      <w:r w:rsidR="00037A36" w:rsidRPr="00037A36">
        <w:rPr>
          <w:b/>
        </w:rPr>
        <w:t>Pamatnosacījumu un procedūras iepriekšēja noteiktība</w:t>
      </w:r>
      <w:r w:rsidR="00D8108B">
        <w:rPr>
          <w:b/>
        </w:rPr>
        <w:t xml:space="preserve"> un publicēšana</w:t>
      </w:r>
    </w:p>
    <w:p w14:paraId="3BA4409B" w14:textId="2F2961E6" w:rsidR="008C02BF" w:rsidRDefault="008C02BF" w:rsidP="00270EB6">
      <w:pPr>
        <w:spacing w:after="0"/>
        <w:ind w:firstLine="567"/>
        <w:jc w:val="both"/>
      </w:pPr>
      <w:r>
        <w:t>P</w:t>
      </w:r>
      <w:r w:rsidRPr="008C02BF">
        <w:t xml:space="preserve">ārskatāmības un vienlīdzīgas attieksmes </w:t>
      </w:r>
      <w:r w:rsidR="00F02819" w:rsidRPr="008C02BF">
        <w:t>princip</w:t>
      </w:r>
      <w:r w:rsidR="00F02819">
        <w:t>s</w:t>
      </w:r>
      <w:r w:rsidRPr="008C02BF">
        <w:t xml:space="preserve">, </w:t>
      </w:r>
      <w:r w:rsidR="00F02819" w:rsidRPr="008C02BF">
        <w:t>k</w:t>
      </w:r>
      <w:r w:rsidR="00F02819">
        <w:t>as</w:t>
      </w:r>
      <w:r w:rsidR="00F02819" w:rsidRPr="008C02BF">
        <w:t xml:space="preserve"> </w:t>
      </w:r>
      <w:r w:rsidRPr="008C02BF">
        <w:t>reglamentē visas publiskā iepirkuma procedūras, nosaka, ka pamatnosacījumiem un procedūrai attiecībā uz dalību iepirkumā ir jābūt skaidri noteiktiem un publicētiem jau iepriekš, it īpaši pretendentu pienākumiem, lai tie varētu precīzi iepazīties ar procedūras ierobežojumiem un pārliecināties, ka tie paši ierobežojumi attiecas uz visiem konkurentiem</w:t>
      </w:r>
      <w:r w:rsidR="00CF116C">
        <w:t>.</w:t>
      </w:r>
      <w:r w:rsidR="00CF116C">
        <w:rPr>
          <w:rStyle w:val="FootnoteReference"/>
        </w:rPr>
        <w:footnoteReference w:id="24"/>
      </w:r>
      <w:r w:rsidRPr="008C02BF">
        <w:t xml:space="preserve"> </w:t>
      </w:r>
    </w:p>
    <w:p w14:paraId="274F3FEB" w14:textId="77777777" w:rsidR="008C02BF" w:rsidRDefault="008C02BF" w:rsidP="00270EB6">
      <w:pPr>
        <w:spacing w:after="0"/>
        <w:ind w:firstLine="567"/>
        <w:jc w:val="both"/>
      </w:pPr>
    </w:p>
    <w:p w14:paraId="5FECA520" w14:textId="370341F0" w:rsidR="00CA3E36" w:rsidRPr="00B813CF" w:rsidRDefault="00B813CF" w:rsidP="00270EB6">
      <w:pPr>
        <w:spacing w:after="0"/>
        <w:ind w:firstLine="567"/>
        <w:jc w:val="both"/>
        <w:rPr>
          <w:b/>
        </w:rPr>
      </w:pPr>
      <w:r>
        <w:rPr>
          <w:b/>
        </w:rPr>
        <w:t>3</w:t>
      </w:r>
      <w:r w:rsidR="00CA3E36" w:rsidRPr="00B813CF">
        <w:rPr>
          <w:b/>
        </w:rPr>
        <w:t>) Iepirkuma būtisko nosac</w:t>
      </w:r>
      <w:r>
        <w:rPr>
          <w:b/>
        </w:rPr>
        <w:t>ījumu satura</w:t>
      </w:r>
      <w:r w:rsidR="00CA3E36" w:rsidRPr="00B813CF">
        <w:rPr>
          <w:b/>
        </w:rPr>
        <w:t xml:space="preserve"> grozīšanas nepieļaujamība</w:t>
      </w:r>
    </w:p>
    <w:p w14:paraId="28C169FF" w14:textId="7D503EFB" w:rsidR="00B813CF" w:rsidRDefault="00BD29C1" w:rsidP="00B813CF">
      <w:pPr>
        <w:spacing w:after="0"/>
        <w:ind w:firstLine="567"/>
        <w:jc w:val="both"/>
      </w:pPr>
      <w:r>
        <w:t>L</w:t>
      </w:r>
      <w:r w:rsidR="00B813CF">
        <w:t>īgumslēdzēja iestāde konkursa procedūras laikā principā nevar grozīt iepirkuma būtisko nosacījumu saturu, tostarp tehniskās specifikācijas, kā arī līguma slēgšanas tiesību piešķiršanas kritērijus, uz kuriem ieinteresētie saimnieciskās darbības subjekti leģitīmi ir balstījušies, lai pieņemtu lēmumu sagatavot iesniegšanai piedāvājumu vai, tieši otrādi, atteikties no dalības attiecīgajā iepirkuma procedūrā</w:t>
      </w:r>
      <w:r w:rsidR="00563D07">
        <w:t>.</w:t>
      </w:r>
      <w:r w:rsidR="00563D07">
        <w:rPr>
          <w:rStyle w:val="FootnoteReference"/>
        </w:rPr>
        <w:footnoteReference w:id="25"/>
      </w:r>
      <w:r w:rsidR="00B813CF">
        <w:t xml:space="preserve"> </w:t>
      </w:r>
      <w:r w:rsidR="00842613">
        <w:t xml:space="preserve">Tomēr no </w:t>
      </w:r>
      <w:r w:rsidR="00B813CF">
        <w:t xml:space="preserve">minētā neizriet, ka jebkurš grozījums specifikācijās pēc uzaicinājuma </w:t>
      </w:r>
      <w:r w:rsidR="00B813CF" w:rsidRPr="00072EAA">
        <w:t>iesniegt piedāvājumu publicēšanas</w:t>
      </w:r>
      <w:r w:rsidR="00B813CF">
        <w:t xml:space="preserve"> ir aizliegts </w:t>
      </w:r>
      <w:r w:rsidR="00842613">
        <w:t>principā un jebkuros apstākļos. L</w:t>
      </w:r>
      <w:r w:rsidR="00B813CF">
        <w:t xml:space="preserve">īgumslēdzējai iestādei izņēmuma kārtā ir iespēja labot vai </w:t>
      </w:r>
      <w:r w:rsidR="00B813CF">
        <w:lastRenderedPageBreak/>
        <w:t>papildināt datus specifikācijās, kas ir vienkārši jāizskaidro vai lai labotu acīmredzamas pārrakstīšanās kļūdas, ar nosacījumu, ka par to tiek informēti visi pretendenti</w:t>
      </w:r>
      <w:r w:rsidR="00842613">
        <w:t>.</w:t>
      </w:r>
      <w:r w:rsidR="00842613">
        <w:rPr>
          <w:rStyle w:val="FootnoteReference"/>
        </w:rPr>
        <w:footnoteReference w:id="26"/>
      </w:r>
      <w:r w:rsidR="00B813CF">
        <w:t xml:space="preserve"> </w:t>
      </w:r>
    </w:p>
    <w:p w14:paraId="5638A3B8" w14:textId="6FDF71AD" w:rsidR="00CA3E36" w:rsidRDefault="008943EE" w:rsidP="00B813CF">
      <w:pPr>
        <w:spacing w:after="0"/>
        <w:ind w:firstLine="567"/>
        <w:jc w:val="both"/>
      </w:pPr>
      <w:r>
        <w:t>I</w:t>
      </w:r>
      <w:r w:rsidR="00B813CF">
        <w:t xml:space="preserve">estādei ir jābūt tiesīgai arī izdarīt noteiktus grozījumus specifikācijās, it īpaši attiecībā uz profesionālo spēju summēšanas nosacījumiem un kārtību, ar nosacījumu, ka tiek ievēroti nediskriminācijas un vienlīdzīgas attieksmes principi, </w:t>
      </w:r>
      <w:r>
        <w:t xml:space="preserve">kā arī pārskatāmības pienākums. </w:t>
      </w:r>
      <w:r w:rsidR="00B813CF">
        <w:t>Šī prasība nozīmē, pirmkārt, ka attiecīgie grozījumi, lai gan tie var būt nozīmīgi, nedrīkst būt tik būtiski, lai tie piesaistītu potenciālos pretendentus, kas, ja nebūtu šādu grozījumu, nevarētu iesniegt piedāvājumu. Tas tā var būt it īpaši, ja grozījumi padara iepirkumu ievērojami atšķirīgu no t</w:t>
      </w:r>
      <w:r>
        <w:t xml:space="preserve">ā, kas tika definēts sākotnēji. </w:t>
      </w:r>
      <w:r w:rsidR="00B813CF">
        <w:t>Otrkārt, minētā prasība nozīmē, ka par šiem grozījumiem tiek atbilstoš</w:t>
      </w:r>
      <w:r w:rsidR="001855D9">
        <w:t>i</w:t>
      </w:r>
      <w:r w:rsidR="00B813CF">
        <w:t xml:space="preserve"> rekl</w:t>
      </w:r>
      <w:r w:rsidR="001855D9">
        <w:t>a</w:t>
      </w:r>
      <w:r w:rsidR="00B813CF">
        <w:t>m</w:t>
      </w:r>
      <w:r w:rsidR="001855D9">
        <w:t>ēts</w:t>
      </w:r>
      <w:r w:rsidR="00B813CF">
        <w:t>, lai visi potenciālie saprātīgi informētie un parasti rūpīgie pretendenti varētu ar tiem iepazīties vie</w:t>
      </w:r>
      <w:r>
        <w:t xml:space="preserve">nādos apstākļos un vienā laikā. </w:t>
      </w:r>
      <w:r w:rsidR="00B813CF">
        <w:t>Treškārt, šī pati prasība nozīmē arī, no vienas puses, ka minētie grozījumi notiek pirms pretendentu piedāvājumu iesniegšanas un, no otras puses, ka šo piedāvājumu iesniegšanas termiņš tiek pagarināts, ja šie grozījumi ir nozīmīgi, ka šī pagarinājuma ilgums ir atkarīgs no minēto grozījumu nozīmīguma un ka šis ilgums ir pietiekams, lai ļautu ieinteresētajiem saimnieciskās darbības subjektiem rezultātā pielāgot savu piedāvājumu.</w:t>
      </w:r>
      <w:r>
        <w:rPr>
          <w:rStyle w:val="FootnoteReference"/>
        </w:rPr>
        <w:footnoteReference w:id="27"/>
      </w:r>
    </w:p>
    <w:p w14:paraId="05C7E128" w14:textId="77777777" w:rsidR="00B813CF" w:rsidRDefault="00B813CF" w:rsidP="00B813CF">
      <w:pPr>
        <w:spacing w:after="0"/>
        <w:ind w:firstLine="567"/>
        <w:jc w:val="both"/>
        <w:rPr>
          <w:b/>
        </w:rPr>
      </w:pPr>
    </w:p>
    <w:p w14:paraId="2BE66C1A" w14:textId="2F4828CF" w:rsidR="00B813CF" w:rsidRPr="00537810" w:rsidRDefault="00B813CF" w:rsidP="00B813CF">
      <w:pPr>
        <w:spacing w:after="0"/>
        <w:ind w:firstLine="567"/>
        <w:jc w:val="both"/>
        <w:rPr>
          <w:b/>
        </w:rPr>
      </w:pPr>
      <w:r>
        <w:rPr>
          <w:b/>
        </w:rPr>
        <w:t>4) </w:t>
      </w:r>
      <w:r w:rsidRPr="00537810">
        <w:rPr>
          <w:b/>
        </w:rPr>
        <w:t xml:space="preserve">Jaunu piešķiršanas kritēriju </w:t>
      </w:r>
      <w:r>
        <w:rPr>
          <w:b/>
        </w:rPr>
        <w:t>ieviešanas</w:t>
      </w:r>
      <w:r w:rsidRPr="00537810">
        <w:rPr>
          <w:b/>
        </w:rPr>
        <w:t xml:space="preserve"> nepieļaujamība</w:t>
      </w:r>
    </w:p>
    <w:p w14:paraId="41CDEB8D" w14:textId="6A18DB7A" w:rsidR="00B813CF" w:rsidRDefault="00B813CF" w:rsidP="00B813CF">
      <w:pPr>
        <w:spacing w:after="0"/>
        <w:ind w:firstLine="567"/>
        <w:jc w:val="both"/>
      </w:pPr>
      <w:r>
        <w:t>P</w:t>
      </w:r>
      <w:r w:rsidRPr="00C35CE0">
        <w:t>ubliskā iepirkuma līguma priekšmets un piešķiršanas kritēriji ir skaidri jānosaka jau publiskā iepirkuma procedūras sākumā</w:t>
      </w:r>
      <w:r w:rsidR="001855D9">
        <w:t>,</w:t>
      </w:r>
      <w:r w:rsidRPr="00C35CE0">
        <w:t xml:space="preserve"> un līgumslēdzēja iestāde nevar piemērot piešķiršanas kritērijiem tādus apakškritērijus, kas iepriekš nav darīti zināmi pretendentiem</w:t>
      </w:r>
      <w:r>
        <w:t>.</w:t>
      </w:r>
      <w:r>
        <w:rPr>
          <w:rStyle w:val="FootnoteReference"/>
        </w:rPr>
        <w:footnoteReference w:id="28"/>
      </w:r>
      <w:r w:rsidRPr="00C35CE0">
        <w:t xml:space="preserve"> </w:t>
      </w:r>
    </w:p>
    <w:p w14:paraId="1487B902" w14:textId="77777777" w:rsidR="00CA3E36" w:rsidRDefault="00CA3E36" w:rsidP="00270EB6">
      <w:pPr>
        <w:spacing w:after="0"/>
        <w:ind w:firstLine="567"/>
        <w:jc w:val="both"/>
      </w:pPr>
    </w:p>
    <w:p w14:paraId="43C17815" w14:textId="6978A85D" w:rsidR="00C01EBC" w:rsidRPr="00FC660F" w:rsidRDefault="00CA3E36" w:rsidP="00270EB6">
      <w:pPr>
        <w:spacing w:after="0"/>
        <w:ind w:firstLine="567"/>
        <w:jc w:val="both"/>
        <w:rPr>
          <w:b/>
        </w:rPr>
      </w:pPr>
      <w:r>
        <w:rPr>
          <w:b/>
        </w:rPr>
        <w:t>5</w:t>
      </w:r>
      <w:r w:rsidR="00FC660F">
        <w:rPr>
          <w:b/>
        </w:rPr>
        <w:t>) </w:t>
      </w:r>
      <w:r w:rsidR="00FC660F" w:rsidRPr="00FC660F">
        <w:rPr>
          <w:b/>
        </w:rPr>
        <w:t>Piešķiršanas kritēriju relatīvā novērtējuma iepriekšēja noteiktība</w:t>
      </w:r>
    </w:p>
    <w:p w14:paraId="5E0AA5F4" w14:textId="47A004F0" w:rsidR="00C01EBC" w:rsidRDefault="00C01EBC" w:rsidP="00270EB6">
      <w:pPr>
        <w:spacing w:after="0"/>
        <w:ind w:firstLine="567"/>
        <w:jc w:val="both"/>
      </w:pPr>
      <w:r w:rsidRPr="00C01EBC">
        <w:t>Katra piešķiršanas kritērija relatīvais novērtējums, neskarot Dire</w:t>
      </w:r>
      <w:r w:rsidR="001C2E2A">
        <w:t>ktīvas 2004/18 53.panta 2.</w:t>
      </w:r>
      <w:r w:rsidRPr="00C01EBC">
        <w:t>punkta trešās daļas noteikumus, ir skaidri jānosaka publiskā iepirkuma procedūras sākumā, šādi ļaujot pretendentiem objektīvi noteikt piešķiršanas kritēriju savstarpējo faktisko nozīmi vēlākā posmā, kad tos novērtēs līgumslēdzēja iestāde.</w:t>
      </w:r>
      <w:r w:rsidR="001C2E2A">
        <w:t xml:space="preserve"> P</w:t>
      </w:r>
      <w:r w:rsidRPr="00C01EBC">
        <w:t>iešķiršanas kritēriju relatīvo novērtējumu nevar grozīt nevienā publiskā iepirkuma procedūras posmā.</w:t>
      </w:r>
      <w:r w:rsidR="00231BAF">
        <w:rPr>
          <w:rStyle w:val="FootnoteReference"/>
        </w:rPr>
        <w:footnoteReference w:id="29"/>
      </w:r>
    </w:p>
    <w:p w14:paraId="598D5EB3" w14:textId="77777777" w:rsidR="00C01EBC" w:rsidRDefault="00C01EBC" w:rsidP="00270EB6">
      <w:pPr>
        <w:spacing w:after="0"/>
        <w:ind w:firstLine="567"/>
        <w:jc w:val="both"/>
      </w:pPr>
    </w:p>
    <w:p w14:paraId="07FA1397" w14:textId="09B1EEE9" w:rsidR="00CF2133" w:rsidRPr="00BD27A1" w:rsidRDefault="00CA3E36" w:rsidP="00270EB6">
      <w:pPr>
        <w:spacing w:after="0"/>
        <w:ind w:firstLine="567"/>
        <w:jc w:val="both"/>
        <w:rPr>
          <w:b/>
        </w:rPr>
      </w:pPr>
      <w:r>
        <w:rPr>
          <w:b/>
        </w:rPr>
        <w:t>6</w:t>
      </w:r>
      <w:r w:rsidR="0019594E" w:rsidRPr="00BD27A1">
        <w:rPr>
          <w:b/>
        </w:rPr>
        <w:t>) </w:t>
      </w:r>
      <w:r w:rsidR="00BD27A1" w:rsidRPr="00BD27A1">
        <w:rPr>
          <w:b/>
        </w:rPr>
        <w:t>Iestādes tiesības pēc piedāvājuma iesniegšanas termiņa izbeigšanās noteikt apakškritēriju novērtējuma koefic</w:t>
      </w:r>
      <w:r w:rsidR="001855D9">
        <w:rPr>
          <w:b/>
        </w:rPr>
        <w:t>i</w:t>
      </w:r>
      <w:r w:rsidR="00BD27A1" w:rsidRPr="00BD27A1">
        <w:rPr>
          <w:b/>
        </w:rPr>
        <w:t>entus</w:t>
      </w:r>
    </w:p>
    <w:p w14:paraId="52885A45" w14:textId="4D61DD04" w:rsidR="00CF2133" w:rsidRDefault="00CF2133" w:rsidP="00270EB6">
      <w:pPr>
        <w:spacing w:after="0"/>
        <w:ind w:firstLine="567"/>
        <w:jc w:val="both"/>
      </w:pPr>
      <w:r>
        <w:t>L</w:t>
      </w:r>
      <w:r w:rsidRPr="00CF2133">
        <w:t>īgumslēdzēja iestāde pēc piedāvājumu iesniegšanas termiņa izbeigšanās var noteikt apakškritēriju novērtējuma koeficientus, kuri būtībā atbilst iepriekš pretendentiem paziņotajiem kritērijiem, ja ir izpildīti trīs nosacījumi</w:t>
      </w:r>
      <w:r w:rsidR="001855D9">
        <w:t>.</w:t>
      </w:r>
      <w:r w:rsidRPr="00CF2133">
        <w:t xml:space="preserve"> </w:t>
      </w:r>
      <w:r w:rsidR="001855D9">
        <w:t>P</w:t>
      </w:r>
      <w:r w:rsidRPr="00CF2133">
        <w:t xml:space="preserve">irmkārt, ar šo </w:t>
      </w:r>
      <w:r w:rsidRPr="007F7E11">
        <w:rPr>
          <w:i/>
        </w:rPr>
        <w:t>ex post</w:t>
      </w:r>
      <w:r w:rsidRPr="00CF2133">
        <w:t xml:space="preserve"> noteikšanu netiek grozīti paziņojumā par līgumu vai iepirkuma procedūras specifikācijās noteiktie līguma slēgšanas tiesību piešķiršanas kritēriji</w:t>
      </w:r>
      <w:r w:rsidR="001855D9">
        <w:t>;</w:t>
      </w:r>
      <w:r w:rsidRPr="00CF2133">
        <w:t xml:space="preserve"> otrkārt, tā neietver elementus, kas būtu varējuši ietekmēt piedāvājuma sagatavošanu, ja tie būtu bijuši zināmi piedāvājuma sagatavošanas </w:t>
      </w:r>
      <w:r w:rsidRPr="00CF2133">
        <w:lastRenderedPageBreak/>
        <w:t>laikā, un, treškārt, tā nav tikusi veikta, ņemot vērā elementus, kas varētu diskriminējoši ietekmēt kādu no pretendentiem</w:t>
      </w:r>
      <w:r w:rsidR="00CC2CE1">
        <w:t>.</w:t>
      </w:r>
      <w:r w:rsidR="00CC2CE1">
        <w:rPr>
          <w:rStyle w:val="FootnoteReference"/>
        </w:rPr>
        <w:footnoteReference w:id="30"/>
      </w:r>
      <w:r w:rsidRPr="00CF2133">
        <w:t xml:space="preserve"> </w:t>
      </w:r>
    </w:p>
    <w:p w14:paraId="7604C448" w14:textId="77777777" w:rsidR="00CF2DE9" w:rsidRDefault="00CF2DE9" w:rsidP="00270EB6">
      <w:pPr>
        <w:spacing w:after="0"/>
        <w:ind w:firstLine="567"/>
        <w:jc w:val="both"/>
      </w:pPr>
    </w:p>
    <w:p w14:paraId="438E0975" w14:textId="0EF1A8E9" w:rsidR="00D16393" w:rsidRPr="00B71FF9" w:rsidRDefault="00CA3E36" w:rsidP="00270EB6">
      <w:pPr>
        <w:spacing w:after="0"/>
        <w:ind w:firstLine="567"/>
        <w:jc w:val="both"/>
        <w:rPr>
          <w:b/>
        </w:rPr>
      </w:pPr>
      <w:r>
        <w:rPr>
          <w:b/>
        </w:rPr>
        <w:t>7</w:t>
      </w:r>
      <w:r w:rsidR="00CF2DE9" w:rsidRPr="00B71FF9">
        <w:rPr>
          <w:b/>
        </w:rPr>
        <w:t>) Pien</w:t>
      </w:r>
      <w:r w:rsidR="00D16393" w:rsidRPr="00B71FF9">
        <w:rPr>
          <w:b/>
        </w:rPr>
        <w:t xml:space="preserve">ākums </w:t>
      </w:r>
      <w:r w:rsidR="00B71FF9" w:rsidRPr="00B71FF9">
        <w:rPr>
          <w:b/>
        </w:rPr>
        <w:t xml:space="preserve">darīt zināmu </w:t>
      </w:r>
      <w:r w:rsidR="00D16393" w:rsidRPr="00B71FF9">
        <w:rPr>
          <w:b/>
        </w:rPr>
        <w:t>iepriekš vērtēšanas metodi</w:t>
      </w:r>
      <w:r w:rsidR="00B26697">
        <w:rPr>
          <w:b/>
        </w:rPr>
        <w:t xml:space="preserve">, </w:t>
      </w:r>
      <w:r w:rsidR="00B26697" w:rsidRPr="00B26697">
        <w:rPr>
          <w:b/>
        </w:rPr>
        <w:t xml:space="preserve">kuru iestāde izmantos, </w:t>
      </w:r>
      <w:r w:rsidR="00B2745A">
        <w:rPr>
          <w:b/>
        </w:rPr>
        <w:t xml:space="preserve">konkrēti </w:t>
      </w:r>
      <w:r w:rsidR="00B26697" w:rsidRPr="00B26697">
        <w:rPr>
          <w:b/>
        </w:rPr>
        <w:t>vērtējot un sarindojot piedāvājumus atbilstoši līguma piešķiršanas kritērijiem</w:t>
      </w:r>
    </w:p>
    <w:p w14:paraId="05B322B8" w14:textId="6BF52BDB" w:rsidR="0083701E" w:rsidRDefault="00D16393" w:rsidP="00270EB6">
      <w:pPr>
        <w:spacing w:after="0"/>
        <w:ind w:firstLine="567"/>
        <w:jc w:val="both"/>
      </w:pPr>
      <w:r>
        <w:t>N</w:t>
      </w:r>
      <w:r w:rsidR="00B71FF9">
        <w:t>edz Direktīvas 2004/18 53.panta 2.</w:t>
      </w:r>
      <w:r w:rsidRPr="00D16393">
        <w:t>punktā, nedz kādā citā tās normā līgumslēdzējai iestādei nav noteikts pienākums potenciālajiem pretendentiem paziņojum</w:t>
      </w:r>
      <w:r w:rsidR="00794433">
        <w:t>ā</w:t>
      </w:r>
      <w:r w:rsidRPr="00D16393">
        <w:t xml:space="preserve"> par līgumu vai specifikāciju publikācijā darīt zināmu vērtēšanas metodi, kuru līgumslēdzēja iestāde izmantos, konkrēti vērtējot un sarindojot piedāvājumus atbilstoši līguma piešķiršanas kritērijiem un to relatīvajam novērtējumam, kas iepriekš noteikti attiecīgā publiskā iepirkuma dokumentācijā.</w:t>
      </w:r>
      <w:r w:rsidR="002A19B0">
        <w:rPr>
          <w:rStyle w:val="FootnoteReference"/>
        </w:rPr>
        <w:footnoteReference w:id="31"/>
      </w:r>
    </w:p>
    <w:p w14:paraId="2FEAF8F7" w14:textId="1203FA52" w:rsidR="00CF2DE9" w:rsidRDefault="0083701E" w:rsidP="0083701E">
      <w:pPr>
        <w:spacing w:after="0"/>
        <w:ind w:firstLine="567"/>
        <w:jc w:val="both"/>
      </w:pPr>
      <w:r>
        <w:t>Vērtēšanas komitejai ir jādod zināma brīvība savu uzdevumu veikšanā</w:t>
      </w:r>
      <w:r w:rsidR="00794433">
        <w:t>,</w:t>
      </w:r>
      <w:r>
        <w:t xml:space="preserve"> un tādēļ tā, negrozot specifikācijā vai paziņojumā par līgumu norādītos piešķiršanas kritērijus, var strukturēt savu iesniegto piedāvājumu pārbaudes un analīzes darbu. Atbilstoši Direktīvas 2004/18 2.pantā noteiktajiem publiskā iepirkuma principiem, lai novērstu jebkādu favorītisma iespēju, vērtēšanas metodi, kuru līgumslēdzēja iestāde izmantos piedāvājumu vērtēšanai un sarindošanai, principā nedrīkst noteikt pēc tam, kad līgumslēdzēja iestāde jau ir atvērusi piedāvājumus. Tomēr gadījumā, kad attiecīgo metodi pirms minētās atvēršanas pierādāmu iemeslu dēļ nevar izmantot, līgumslēdzējai iestādei nevar pārmest, ka tā metodi ir noteikusi tikai pēc tam, kad tā vai vērtēšanas komiteja ir iepazinusies ar piedāvājumu saturu. Katrā ziņā saskaņā ar minētajiem publiskā iepirkuma principiem tas, ka līgumslēdzēja iestāde vērtēšanas metodi nosaka pēc paziņojuma par līgumu vai specifikācijas publicēšanas, negroza piešķiršanas kritērijus, nedz arī to relatīvo novērtējumu.</w:t>
      </w:r>
      <w:r>
        <w:rPr>
          <w:rStyle w:val="FootnoteReference"/>
        </w:rPr>
        <w:footnoteReference w:id="32"/>
      </w:r>
      <w:r w:rsidR="00CF2DE9">
        <w:t xml:space="preserve"> </w:t>
      </w:r>
    </w:p>
    <w:p w14:paraId="53FBE920" w14:textId="77777777" w:rsidR="00CF2133" w:rsidRDefault="00CF2133" w:rsidP="00270EB6">
      <w:pPr>
        <w:spacing w:after="0"/>
        <w:ind w:firstLine="567"/>
        <w:jc w:val="both"/>
      </w:pPr>
    </w:p>
    <w:p w14:paraId="73756E59" w14:textId="77777777" w:rsidR="00C310F2" w:rsidRDefault="00C310F2" w:rsidP="00270EB6">
      <w:pPr>
        <w:spacing w:after="0"/>
        <w:ind w:firstLine="567"/>
        <w:jc w:val="both"/>
      </w:pPr>
    </w:p>
    <w:p w14:paraId="2EFFEE02" w14:textId="43EBC2F3" w:rsidR="00616422" w:rsidRDefault="00616422" w:rsidP="00616422">
      <w:pPr>
        <w:spacing w:after="0"/>
        <w:ind w:firstLine="567"/>
        <w:jc w:val="both"/>
        <w:rPr>
          <w:b/>
        </w:rPr>
      </w:pPr>
      <w:r>
        <w:rPr>
          <w:b/>
        </w:rPr>
        <w:t>Speciālie iepirkumu procedūras nosacījumi un kārtība</w:t>
      </w:r>
    </w:p>
    <w:p w14:paraId="5D2BF684" w14:textId="77777777" w:rsidR="0092147E" w:rsidRDefault="0092147E" w:rsidP="00270EB6">
      <w:pPr>
        <w:spacing w:after="0"/>
        <w:ind w:firstLine="567"/>
        <w:jc w:val="both"/>
      </w:pPr>
    </w:p>
    <w:p w14:paraId="1C90F96B" w14:textId="3A1F46BE" w:rsidR="009651FF" w:rsidRPr="0050482D" w:rsidRDefault="009651FF" w:rsidP="009651FF">
      <w:pPr>
        <w:spacing w:after="0"/>
        <w:ind w:firstLine="567"/>
        <w:jc w:val="both"/>
        <w:rPr>
          <w:b/>
          <w:szCs w:val="24"/>
        </w:rPr>
      </w:pPr>
      <w:r w:rsidRPr="0050482D">
        <w:rPr>
          <w:b/>
          <w:szCs w:val="24"/>
        </w:rPr>
        <w:t>Prasība</w:t>
      </w:r>
      <w:r>
        <w:rPr>
          <w:b/>
          <w:szCs w:val="24"/>
        </w:rPr>
        <w:t xml:space="preserve"> </w:t>
      </w:r>
      <w:r w:rsidR="00FC2A7A">
        <w:rPr>
          <w:b/>
          <w:szCs w:val="24"/>
        </w:rPr>
        <w:t xml:space="preserve">piedāvājumā </w:t>
      </w:r>
      <w:r>
        <w:rPr>
          <w:b/>
          <w:szCs w:val="24"/>
        </w:rPr>
        <w:t>norādīt</w:t>
      </w:r>
      <w:r w:rsidR="005C48C4">
        <w:rPr>
          <w:b/>
          <w:szCs w:val="24"/>
        </w:rPr>
        <w:t xml:space="preserve"> </w:t>
      </w:r>
      <w:r w:rsidRPr="0050482D">
        <w:rPr>
          <w:b/>
          <w:szCs w:val="24"/>
        </w:rPr>
        <w:t>līguma da</w:t>
      </w:r>
      <w:r>
        <w:rPr>
          <w:b/>
          <w:szCs w:val="24"/>
        </w:rPr>
        <w:t>ļa</w:t>
      </w:r>
      <w:r w:rsidR="005C48C4">
        <w:rPr>
          <w:b/>
          <w:szCs w:val="24"/>
        </w:rPr>
        <w:t xml:space="preserve">s nodošanu </w:t>
      </w:r>
      <w:r w:rsidRPr="0050482D">
        <w:rPr>
          <w:b/>
          <w:szCs w:val="24"/>
        </w:rPr>
        <w:t>apakšuzņēmējam</w:t>
      </w:r>
    </w:p>
    <w:p w14:paraId="00BD497A" w14:textId="77777777" w:rsidR="009651FF" w:rsidRDefault="009651FF" w:rsidP="009651FF">
      <w:pPr>
        <w:spacing w:after="0"/>
        <w:ind w:firstLine="567"/>
        <w:jc w:val="both"/>
        <w:rPr>
          <w:szCs w:val="24"/>
        </w:rPr>
      </w:pPr>
      <w:r>
        <w:rPr>
          <w:szCs w:val="24"/>
        </w:rPr>
        <w:t xml:space="preserve"> </w:t>
      </w:r>
    </w:p>
    <w:p w14:paraId="1F83C107" w14:textId="3EE75673" w:rsidR="009651FF" w:rsidRDefault="009651FF" w:rsidP="009651FF">
      <w:pPr>
        <w:spacing w:after="0"/>
        <w:ind w:firstLine="567"/>
        <w:jc w:val="both"/>
        <w:rPr>
          <w:szCs w:val="24"/>
        </w:rPr>
      </w:pPr>
      <w:r w:rsidRPr="00255662">
        <w:rPr>
          <w:szCs w:val="24"/>
        </w:rPr>
        <w:t>At</w:t>
      </w:r>
      <w:r>
        <w:rPr>
          <w:szCs w:val="24"/>
        </w:rPr>
        <w:t>bilstoši Direktīvas 2004/18 25.</w:t>
      </w:r>
      <w:r w:rsidRPr="00255662">
        <w:rPr>
          <w:szCs w:val="24"/>
        </w:rPr>
        <w:t>panta pirmajai daļai līgumslēdzēja iestāde līguma dokumentos var prasīt vai dalībvalsts var prasīt, lai pretendenti piedāvājumā norāda, par kādu daļu no līguma varētu tikt slēgti apakšuzņēmuma līgumi ar trešajām personām, kā arī norāda piedāvātos apakšuzņēmējus.</w:t>
      </w:r>
      <w:r>
        <w:rPr>
          <w:szCs w:val="24"/>
        </w:rPr>
        <w:t xml:space="preserve"> A</w:t>
      </w:r>
      <w:r w:rsidRPr="004077BD">
        <w:rPr>
          <w:szCs w:val="24"/>
        </w:rPr>
        <w:t xml:space="preserve">r šo pantu Direktīvā 2004/18 ir paredzēta apakšuzņēmumu līgumu slēgšana, nenosakot </w:t>
      </w:r>
      <w:r>
        <w:rPr>
          <w:szCs w:val="24"/>
        </w:rPr>
        <w:t xml:space="preserve">šajā ziņā nekādus </w:t>
      </w:r>
      <w:r w:rsidRPr="004077BD">
        <w:rPr>
          <w:szCs w:val="24"/>
        </w:rPr>
        <w:t>ierobežojumus</w:t>
      </w:r>
      <w:r>
        <w:rPr>
          <w:szCs w:val="24"/>
        </w:rPr>
        <w:t>.</w:t>
      </w:r>
      <w:r>
        <w:rPr>
          <w:rStyle w:val="FootnoteReference"/>
          <w:szCs w:val="24"/>
        </w:rPr>
        <w:footnoteReference w:id="33"/>
      </w:r>
    </w:p>
    <w:p w14:paraId="7F17D72E" w14:textId="77777777" w:rsidR="0084342A" w:rsidRDefault="0084342A" w:rsidP="009651FF">
      <w:pPr>
        <w:spacing w:after="0"/>
        <w:ind w:firstLine="567"/>
        <w:jc w:val="both"/>
      </w:pPr>
    </w:p>
    <w:p w14:paraId="7B17377A" w14:textId="77777777" w:rsidR="00C310F2" w:rsidRDefault="00C310F2" w:rsidP="009651FF">
      <w:pPr>
        <w:spacing w:after="0"/>
        <w:ind w:firstLine="567"/>
        <w:jc w:val="both"/>
      </w:pPr>
    </w:p>
    <w:p w14:paraId="44B839EF" w14:textId="77777777" w:rsidR="00C310F2" w:rsidRDefault="00C310F2" w:rsidP="009651FF">
      <w:pPr>
        <w:spacing w:after="0"/>
        <w:ind w:firstLine="567"/>
        <w:jc w:val="both"/>
      </w:pPr>
    </w:p>
    <w:p w14:paraId="50A6EAA2" w14:textId="08409AEF" w:rsidR="0084342A" w:rsidRPr="00C732BE" w:rsidRDefault="00C732BE" w:rsidP="00E716C6">
      <w:pPr>
        <w:spacing w:after="0"/>
        <w:ind w:firstLine="567"/>
        <w:jc w:val="both"/>
        <w:rPr>
          <w:b/>
        </w:rPr>
      </w:pPr>
      <w:r>
        <w:rPr>
          <w:b/>
        </w:rPr>
        <w:lastRenderedPageBreak/>
        <w:t>1) </w:t>
      </w:r>
      <w:r w:rsidR="0090315A">
        <w:rPr>
          <w:b/>
        </w:rPr>
        <w:t>Prasība pretendentam norādīt</w:t>
      </w:r>
      <w:r w:rsidR="00A828CE">
        <w:rPr>
          <w:b/>
        </w:rPr>
        <w:t xml:space="preserve"> savā piedāvājumā līguma daļu, kas tiks nodota apakšuzņēmējiem </w:t>
      </w:r>
    </w:p>
    <w:p w14:paraId="1CBF4054" w14:textId="0D913EAB" w:rsidR="00FA0B97" w:rsidRDefault="00FA0B97" w:rsidP="009651FF">
      <w:pPr>
        <w:spacing w:after="0"/>
        <w:ind w:firstLine="567"/>
        <w:jc w:val="both"/>
      </w:pPr>
      <w:r>
        <w:t>J</w:t>
      </w:r>
      <w:r w:rsidRPr="00FA0B97">
        <w:t>a iepirkuma dokumentos ir noteikts, ka pretendentiem ir jānorāda savos piedāvājumos līguma daļa</w:t>
      </w:r>
      <w:r w:rsidR="00D14EB5">
        <w:t xml:space="preserve"> (</w:t>
      </w:r>
      <w:r w:rsidRPr="00FA0B97">
        <w:t>ko tiem, iespējams, ir nodoms nodot apakšuzņēmējiem</w:t>
      </w:r>
      <w:r w:rsidR="00D14EB5">
        <w:t>)</w:t>
      </w:r>
      <w:r w:rsidRPr="00FA0B97">
        <w:t xml:space="preserve"> un </w:t>
      </w:r>
      <w:r w:rsidRPr="00B1728C">
        <w:t>piedāvātie apakšuzņēmēji at</w:t>
      </w:r>
      <w:r w:rsidR="0040374D" w:rsidRPr="00B1728C">
        <w:t>bilstoši Direktīvas 2004/18 25.</w:t>
      </w:r>
      <w:r w:rsidRPr="00B1728C">
        <w:t>panta pirmajai daļai</w:t>
      </w:r>
      <w:r w:rsidRPr="00FA0B97">
        <w:t>, līgumslēdzējai iestādei ir tiesības aizliegt slēgt apakšuzņēmuma līgumus, kuru iespējas tā nevarēja pārbaudīt piedāvājumu pārbaudes un līgumslēdzēja izvēles stadijā, lai izpildītu iepirkuma būtiskās daļas</w:t>
      </w:r>
      <w:r w:rsidR="0040374D">
        <w:t>.</w:t>
      </w:r>
      <w:r w:rsidR="0040374D">
        <w:rPr>
          <w:rStyle w:val="FootnoteReference"/>
        </w:rPr>
        <w:footnoteReference w:id="34"/>
      </w:r>
      <w:r w:rsidRPr="00FA0B97">
        <w:t xml:space="preserve"> </w:t>
      </w:r>
    </w:p>
    <w:p w14:paraId="63E5B9DA" w14:textId="77777777" w:rsidR="0084342A" w:rsidRDefault="0084342A" w:rsidP="009651FF">
      <w:pPr>
        <w:spacing w:after="0"/>
        <w:ind w:firstLine="567"/>
        <w:jc w:val="both"/>
      </w:pPr>
    </w:p>
    <w:p w14:paraId="600FDE9E" w14:textId="48552C3F" w:rsidR="00E716C6" w:rsidRPr="00947F53" w:rsidRDefault="00E716C6" w:rsidP="009651FF">
      <w:pPr>
        <w:spacing w:after="0"/>
        <w:ind w:firstLine="567"/>
        <w:jc w:val="both"/>
        <w:rPr>
          <w:b/>
        </w:rPr>
      </w:pPr>
      <w:r w:rsidRPr="00947F53">
        <w:rPr>
          <w:b/>
        </w:rPr>
        <w:t>2) </w:t>
      </w:r>
      <w:r w:rsidR="00171596" w:rsidRPr="00947F53">
        <w:rPr>
          <w:b/>
        </w:rPr>
        <w:t>Prasība pretendentam noteiktu iepirkuma procentuālu daļu</w:t>
      </w:r>
      <w:r w:rsidR="00947F53" w:rsidRPr="00947F53">
        <w:rPr>
          <w:b/>
        </w:rPr>
        <w:t xml:space="preserve"> izpildīt vienīgi ar saviem līdzekļiem</w:t>
      </w:r>
    </w:p>
    <w:p w14:paraId="6344EE60" w14:textId="5BA0EF98" w:rsidR="0092147E" w:rsidRDefault="00632A75" w:rsidP="0068085B">
      <w:pPr>
        <w:spacing w:after="0"/>
        <w:ind w:firstLine="567"/>
        <w:jc w:val="both"/>
      </w:pPr>
      <w:r>
        <w:t>L</w:t>
      </w:r>
      <w:r w:rsidRPr="00632A75">
        <w:t>īgumslēdzējai iestādei nav atļauts</w:t>
      </w:r>
      <w:r>
        <w:t xml:space="preserve"> iepirkuma specifikācijās prasīt</w:t>
      </w:r>
      <w:r w:rsidRPr="00632A75">
        <w:t>,</w:t>
      </w:r>
      <w:r>
        <w:t xml:space="preserve"> lai </w:t>
      </w:r>
      <w:r w:rsidRPr="00632A75">
        <w:t xml:space="preserve">iepirkuma nākamais līgumslēdzējs </w:t>
      </w:r>
      <w:r w:rsidR="00E17903">
        <w:t xml:space="preserve">kādu noteiktu </w:t>
      </w:r>
      <w:r w:rsidR="00B458CD">
        <w:t xml:space="preserve">līguma </w:t>
      </w:r>
      <w:r w:rsidR="00E17903">
        <w:t xml:space="preserve">procentuālu daļu </w:t>
      </w:r>
      <w:r w:rsidRPr="00632A75">
        <w:t xml:space="preserve">izpilda </w:t>
      </w:r>
      <w:r w:rsidR="00E17903">
        <w:t xml:space="preserve">vienīgi </w:t>
      </w:r>
      <w:r w:rsidRPr="00632A75">
        <w:t>pats ar saviem līdzekļiem.</w:t>
      </w:r>
      <w:r w:rsidR="0081378E">
        <w:t xml:space="preserve"> Šāds ierobežojums</w:t>
      </w:r>
      <w:r w:rsidR="0081378E" w:rsidRPr="0081378E">
        <w:t xml:space="preserve">, pieņemot, ka tas ir līguma izpildes nosacījums Direktīvas </w:t>
      </w:r>
      <w:r w:rsidR="0081378E">
        <w:t>2004/18 26.</w:t>
      </w:r>
      <w:r w:rsidR="0081378E" w:rsidRPr="0081378E">
        <w:t xml:space="preserve">panta izpratnē, nevar tikt pieļauts atbilstoši šim pantam, jo tas ir pretējs šīs Direktīvas </w:t>
      </w:r>
      <w:r w:rsidR="0081378E">
        <w:t>2004/18 48.panta 3.</w:t>
      </w:r>
      <w:r w:rsidR="0081378E" w:rsidRPr="0081378E">
        <w:t xml:space="preserve">punktam un tātad </w:t>
      </w:r>
      <w:r w:rsidR="0081378E">
        <w:t xml:space="preserve">Eiropas </w:t>
      </w:r>
      <w:r w:rsidR="0081378E" w:rsidRPr="0081378E">
        <w:t>Savienības tiesībām.</w:t>
      </w:r>
      <w:r w:rsidR="00742B84">
        <w:rPr>
          <w:rStyle w:val="FootnoteReference"/>
        </w:rPr>
        <w:footnoteReference w:id="35"/>
      </w:r>
      <w:r w:rsidR="00B458CD">
        <w:t xml:space="preserve"> </w:t>
      </w:r>
    </w:p>
    <w:p w14:paraId="1912CDAD" w14:textId="77777777" w:rsidR="006A2F85" w:rsidRDefault="006A2F85" w:rsidP="00270EB6">
      <w:pPr>
        <w:spacing w:after="0"/>
        <w:ind w:firstLine="567"/>
        <w:jc w:val="both"/>
      </w:pPr>
    </w:p>
    <w:p w14:paraId="423FF333" w14:textId="77777777" w:rsidR="006D7653" w:rsidRDefault="006D7653" w:rsidP="00270EB6">
      <w:pPr>
        <w:spacing w:after="0"/>
        <w:ind w:firstLine="709"/>
        <w:jc w:val="both"/>
      </w:pPr>
    </w:p>
    <w:p w14:paraId="2A61C897" w14:textId="77777777" w:rsidR="00700CF7" w:rsidRDefault="00700CF7" w:rsidP="00270EB6">
      <w:pPr>
        <w:spacing w:after="160"/>
      </w:pPr>
      <w:r>
        <w:br w:type="page"/>
      </w:r>
    </w:p>
    <w:p w14:paraId="04591343" w14:textId="4D08E294" w:rsidR="00700CF7" w:rsidRPr="00A432F3" w:rsidRDefault="00301073" w:rsidP="00A81A21">
      <w:pPr>
        <w:pStyle w:val="Heading3"/>
        <w:ind w:left="720"/>
        <w:rPr>
          <w:rFonts w:eastAsia="Times New Roman"/>
          <w:color w:val="000000"/>
        </w:rPr>
      </w:pPr>
      <w:bookmarkStart w:id="13" w:name="_Toc491088012"/>
      <w:r>
        <w:lastRenderedPageBreak/>
        <w:t>3.2</w:t>
      </w:r>
      <w:r w:rsidR="00A81A21">
        <w:t>.</w:t>
      </w:r>
      <w:r w:rsidR="005E1CD2">
        <w:t xml:space="preserve"> </w:t>
      </w:r>
      <w:r w:rsidR="00700CF7" w:rsidRPr="00F37FEE">
        <w:t xml:space="preserve">Pretendentu un piedāvājumu </w:t>
      </w:r>
      <w:r w:rsidR="00700CF7">
        <w:t xml:space="preserve">atbilstības </w:t>
      </w:r>
      <w:r w:rsidR="00700CF7" w:rsidRPr="00F37FEE">
        <w:t>novērtēšana</w:t>
      </w:r>
      <w:bookmarkEnd w:id="13"/>
    </w:p>
    <w:p w14:paraId="6844B2FA" w14:textId="77777777" w:rsidR="00700CF7" w:rsidRPr="00A432F3" w:rsidRDefault="00700CF7" w:rsidP="00270EB6">
      <w:pPr>
        <w:pStyle w:val="ListParagraph"/>
        <w:spacing w:after="0"/>
        <w:ind w:left="1080"/>
        <w:rPr>
          <w:rFonts w:eastAsia="Times New Roman"/>
          <w:b/>
          <w:color w:val="000000"/>
          <w:szCs w:val="24"/>
        </w:rPr>
      </w:pPr>
    </w:p>
    <w:p w14:paraId="7FE47D71" w14:textId="77777777" w:rsidR="005B5054" w:rsidRDefault="005B5054" w:rsidP="00270EB6">
      <w:pPr>
        <w:spacing w:after="0"/>
        <w:ind w:firstLine="540"/>
        <w:jc w:val="both"/>
        <w:rPr>
          <w:b/>
        </w:rPr>
      </w:pPr>
    </w:p>
    <w:p w14:paraId="04856BA9" w14:textId="53CAE737" w:rsidR="00700CF7" w:rsidRPr="00FB5B07" w:rsidRDefault="00700CF7" w:rsidP="00FB5B07">
      <w:pPr>
        <w:spacing w:after="0"/>
        <w:ind w:firstLine="539"/>
        <w:jc w:val="both"/>
        <w:rPr>
          <w:b/>
        </w:rPr>
      </w:pPr>
      <w:bookmarkStart w:id="14" w:name="_Toc490662505"/>
      <w:r w:rsidRPr="00FB5B07">
        <w:rPr>
          <w:b/>
        </w:rPr>
        <w:t>Atsaukšanās uz citas personas iespējām</w:t>
      </w:r>
      <w:bookmarkEnd w:id="14"/>
    </w:p>
    <w:p w14:paraId="2AA2F29E" w14:textId="487ED756" w:rsidR="00700CF7" w:rsidRDefault="00DC1FFD" w:rsidP="0021262B">
      <w:pPr>
        <w:spacing w:after="0"/>
        <w:ind w:firstLine="539"/>
        <w:jc w:val="both"/>
      </w:pPr>
      <w:r w:rsidRPr="00DC1FFD">
        <w:t>Saskaņā ar pastāvīgo judik</w:t>
      </w:r>
      <w:r>
        <w:t>atūru ar Direktīvas 2004/18 47.panta 2.punktu un 48.panta 3.</w:t>
      </w:r>
      <w:r w:rsidRPr="00DC1FFD">
        <w:t>punktu ikvienam saimnieciskās darbības subjektam ir atzītas tiesības konkrēta līguma vajadzībām izmantot citu subjektu iespējas neatkarīgi no tā, kāds ir to starpā pastāvošo saistību raksturs, ja vien līgumslēdzējai iestādei ir pierādīts, ka kandidāta vai pretendenta rīcībā faktiski būs šī līguma izpildei vajadzīgie šo subjektu resursi.</w:t>
      </w:r>
      <w:r w:rsidR="0021262B">
        <w:t xml:space="preserve"> </w:t>
      </w:r>
      <w:r w:rsidRPr="00DC1FFD">
        <w:t xml:space="preserve">Šāda interpretācija atbilst šajā jomā pieņemto direktīvu izvirzītajam mērķim ne tikai saimnieciskās darbības subjektu, bet arī līgumslēdzēju iestāžu interesēs atvērt publiskā iepirkuma jomu pēc iespējas lielākai konkurencei. Turklāt tā arī var veicināt mazo un vidējo uzņēmumu piekļuvi publisko iepirkumu tirgum, kas arī ir Direktīvas 2004/18 mērķis, </w:t>
      </w:r>
      <w:r w:rsidR="00211547">
        <w:t>uz ko norāda tās preambulas 32.</w:t>
      </w:r>
      <w:r w:rsidRPr="00DC1FFD">
        <w:t>apsvērums.</w:t>
      </w:r>
      <w:r w:rsidR="008B651B">
        <w:rPr>
          <w:rStyle w:val="FootnoteReference"/>
        </w:rPr>
        <w:footnoteReference w:id="36"/>
      </w:r>
    </w:p>
    <w:p w14:paraId="2F3AA5C4" w14:textId="77777777" w:rsidR="0020349C" w:rsidRDefault="0020349C" w:rsidP="0021262B">
      <w:pPr>
        <w:spacing w:after="0"/>
        <w:ind w:firstLine="539"/>
        <w:jc w:val="both"/>
      </w:pPr>
    </w:p>
    <w:p w14:paraId="77F61CED" w14:textId="21919625" w:rsidR="0020349C" w:rsidRPr="00007125" w:rsidRDefault="00D826BC" w:rsidP="0021262B">
      <w:pPr>
        <w:spacing w:after="0"/>
        <w:ind w:firstLine="539"/>
        <w:jc w:val="both"/>
        <w:rPr>
          <w:b/>
        </w:rPr>
      </w:pPr>
      <w:r>
        <w:rPr>
          <w:b/>
        </w:rPr>
        <w:t>1) </w:t>
      </w:r>
      <w:r w:rsidR="0020349C" w:rsidRPr="00007125">
        <w:rPr>
          <w:b/>
        </w:rPr>
        <w:t xml:space="preserve">Atsaukšanās uz citas personas iespējām ierobežojumi </w:t>
      </w:r>
    </w:p>
    <w:p w14:paraId="3D39E2CD" w14:textId="2AA695EF" w:rsidR="009141CE" w:rsidRDefault="003C1DC5" w:rsidP="00D053AD">
      <w:pPr>
        <w:spacing w:after="0"/>
        <w:ind w:firstLine="539"/>
        <w:jc w:val="both"/>
      </w:pPr>
      <w:r>
        <w:t>L</w:t>
      </w:r>
      <w:r w:rsidR="00D053AD">
        <w:t>ai gan saimnieciskās darbības subjekts var brīvi pierādīt saistības ar tiem subjektiem, kuru iespējas tas izmanto, un izvēlēties šo saistību tiesisko raksturu, tam tomēr ir jāsniedz pierādījums, ka tā rīcībā faktiski ir šo subjektu resursi, kas tam pašam nav piederīgi un kas ir vajadzīgi noteikta līguma izpildei.</w:t>
      </w:r>
      <w:r w:rsidR="009132FC">
        <w:rPr>
          <w:rStyle w:val="FootnoteReference"/>
        </w:rPr>
        <w:footnoteReference w:id="37"/>
      </w:r>
      <w:r w:rsidR="00962F5F">
        <w:t xml:space="preserve"> </w:t>
      </w:r>
    </w:p>
    <w:p w14:paraId="08117090" w14:textId="77777777" w:rsidR="0098211D" w:rsidRPr="00381475" w:rsidRDefault="0098211D" w:rsidP="0098211D">
      <w:pPr>
        <w:spacing w:after="0" w:line="240" w:lineRule="auto"/>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98211D" w:rsidRPr="00381475" w14:paraId="527892D4" w14:textId="77777777" w:rsidTr="004C7699">
        <w:tc>
          <w:tcPr>
            <w:tcW w:w="7932" w:type="dxa"/>
            <w:shd w:val="clear" w:color="auto" w:fill="F2F2F2" w:themeFill="background1" w:themeFillShade="F2"/>
          </w:tcPr>
          <w:p w14:paraId="2017F757" w14:textId="5B477196" w:rsidR="0098211D" w:rsidRPr="00381475" w:rsidRDefault="0098211D" w:rsidP="00082176">
            <w:pPr>
              <w:ind w:firstLine="720"/>
              <w:jc w:val="both"/>
            </w:pPr>
            <w:r w:rsidRPr="00381475">
              <w:t xml:space="preserve">Lietā </w:t>
            </w:r>
            <w:r>
              <w:t>„</w:t>
            </w:r>
            <w:r w:rsidRPr="0083059E">
              <w:t>Pippo Pizzo</w:t>
            </w:r>
            <w:r>
              <w:t>” Eiropas Savienības Tiesa atzina, ka</w:t>
            </w:r>
            <w:r w:rsidR="00815F61">
              <w:t xml:space="preserve"> </w:t>
            </w:r>
            <w:r w:rsidR="00A5549E">
              <w:t>uzņēmums</w:t>
            </w:r>
            <w:r w:rsidR="00815F61">
              <w:t xml:space="preserve"> drīkst pierādīt s</w:t>
            </w:r>
            <w:r w:rsidR="00815F61" w:rsidRPr="00815F61">
              <w:t xml:space="preserve">avas ekonomiskās un finanšu iespējas, iesniedzot </w:t>
            </w:r>
            <w:r w:rsidR="00815F61">
              <w:t xml:space="preserve">banku izziņas. </w:t>
            </w:r>
            <w:r w:rsidR="002A44D0">
              <w:t>J</w:t>
            </w:r>
            <w:r w:rsidR="002A44D0" w:rsidRPr="002A44D0">
              <w:t xml:space="preserve">a uzņēmumam, kurš izmanto trešā uzņēmuma iespējas, tiktu liegts izmantot šī trešā uzņēmuma bankas izziņu, acīmredzami tiktu atņemta jebkāda lietderīga iedarbība </w:t>
            </w:r>
            <w:r w:rsidR="00082176">
              <w:t>Direktīvas 2004/18 47.panta 2.punktā un 48.panta 3.</w:t>
            </w:r>
            <w:r w:rsidR="002A44D0" w:rsidRPr="002A44D0">
              <w:t xml:space="preserve">punktā piedāvātajai iespējai </w:t>
            </w:r>
            <w:r w:rsidR="00082176">
              <w:t>izmantot trešo personu iespējas</w:t>
            </w:r>
            <w:r>
              <w:t>.</w:t>
            </w:r>
            <w:r>
              <w:rPr>
                <w:rStyle w:val="FootnoteReference"/>
              </w:rPr>
              <w:footnoteReference w:id="38"/>
            </w:r>
          </w:p>
        </w:tc>
      </w:tr>
    </w:tbl>
    <w:p w14:paraId="5D9D6DF7" w14:textId="77777777" w:rsidR="009141CE" w:rsidRDefault="009141CE" w:rsidP="00D053AD">
      <w:pPr>
        <w:spacing w:after="0"/>
        <w:ind w:firstLine="539"/>
        <w:jc w:val="both"/>
      </w:pPr>
    </w:p>
    <w:p w14:paraId="5EF8D701" w14:textId="3511B771" w:rsidR="00D053AD" w:rsidRDefault="00C50041" w:rsidP="00D053AD">
      <w:pPr>
        <w:spacing w:after="0"/>
        <w:ind w:firstLine="539"/>
        <w:jc w:val="both"/>
      </w:pPr>
      <w:r>
        <w:t>S</w:t>
      </w:r>
      <w:r w:rsidR="00D053AD">
        <w:t>ask</w:t>
      </w:r>
      <w:r w:rsidR="00D72200">
        <w:t>aņā ar Direktīvas 2004/18 47.panta 2.punktu un 48.panta 3.</w:t>
      </w:r>
      <w:r w:rsidR="00D053AD">
        <w:t>punktu pretendents nevar izmantot citu subjektu iespējas, lai pilnībā formāli izpildītu līgumslēdzējas iestādes prasītos nosacījumus.</w:t>
      </w:r>
      <w:r w:rsidR="00E62CAC">
        <w:rPr>
          <w:rStyle w:val="FootnoteReference"/>
        </w:rPr>
        <w:footnoteReference w:id="39"/>
      </w:r>
    </w:p>
    <w:p w14:paraId="64365183" w14:textId="48147BB3" w:rsidR="0020349C" w:rsidRDefault="00D72200" w:rsidP="00D053AD">
      <w:pPr>
        <w:spacing w:after="0"/>
        <w:ind w:firstLine="539"/>
        <w:jc w:val="both"/>
      </w:pPr>
      <w:r>
        <w:t>Otrām kārtām</w:t>
      </w:r>
      <w:r w:rsidR="00D053AD">
        <w:t xml:space="preserve">, ar Direktīvas 2004/18 noteikumiem ir </w:t>
      </w:r>
      <w:r>
        <w:t>pieļauts, ka šīs direktīvas 47.panta 2.punktā un 48.panta 3.</w:t>
      </w:r>
      <w:r w:rsidR="00D053AD">
        <w:t>punktā paredzēto tiesību īstenošana izņēmuma apstākļos tiek ierobežota.</w:t>
      </w:r>
      <w:r w:rsidR="007D2DED">
        <w:rPr>
          <w:rStyle w:val="FootnoteReference"/>
        </w:rPr>
        <w:footnoteReference w:id="40"/>
      </w:r>
      <w:r>
        <w:t xml:space="preserve"> </w:t>
      </w:r>
      <w:r w:rsidR="00C01AEE" w:rsidRPr="00C01AEE">
        <w:t>Nevar tikt izslēgts, ka ir</w:t>
      </w:r>
      <w:r w:rsidR="0047179C">
        <w:t>, piemēram,</w:t>
      </w:r>
      <w:r w:rsidR="00C01AEE" w:rsidRPr="00C01AEE">
        <w:t xml:space="preserve"> būvdarbi, kuriem piemīt īpatnības, kas prasa </w:t>
      </w:r>
      <w:r w:rsidR="00C01AEE" w:rsidRPr="00C01AEE">
        <w:lastRenderedPageBreak/>
        <w:t>noteiktas iespējas, kuras nevar tikt iegūtas, apkopojot mazākas vairāku saimnieciskās darbības subjektu iespējas. Šādā gadījumā līgumslēdzēja iestāde at</w:t>
      </w:r>
      <w:r w:rsidR="0047179C">
        <w:t>bilstoši Direktīvas 2004/18 44.panta 2.</w:t>
      </w:r>
      <w:r w:rsidR="00C01AEE" w:rsidRPr="00C01AEE">
        <w:t>punkta otrajai daļai var pamatoti prasīt, lai attiecīgo minimālo iespēju līmeni sasniegtu viens saimnieciskās darbības subjekts vai attiecīgā gadījumā tiktu izmantotas ierobežota saimnieciskās darbības subjektu skaita iespējas, ciktāl šī prasība ir saistīta un samērīga ar attiecīgā iepirkuma līguma priekšmetu.</w:t>
      </w:r>
      <w:r w:rsidR="00930D4B">
        <w:rPr>
          <w:rStyle w:val="FootnoteReference"/>
        </w:rPr>
        <w:footnoteReference w:id="41"/>
      </w:r>
      <w:r w:rsidR="00E15CE9">
        <w:t xml:space="preserve"> </w:t>
      </w:r>
      <w:r w:rsidR="00E15CE9" w:rsidRPr="00E15CE9">
        <w:t xml:space="preserve">Līdzīgi nevar tikt izslēgts, ka īpašos apstākļos, ņemot vērā noteikta līguma raksturu un mērķus, </w:t>
      </w:r>
      <w:r w:rsidR="00A3171C" w:rsidRPr="00E15CE9">
        <w:t>iespēj</w:t>
      </w:r>
      <w:r w:rsidR="00A3171C">
        <w:t>as</w:t>
      </w:r>
      <w:r w:rsidR="00E15CE9" w:rsidRPr="00E15CE9">
        <w:t>, kuras ir subjektam – trešajai personai – un kuras ir vajadzīgas noteikta līguma izpildei, nevar tikt nodotas pretendentam. Tādējādi šādos apstākļos pretendents uz minētajām iespējām var pamatoties tikai tad, ja subjekts – trešā persona – tieši un personīgi piedalās attiecīgā līguma izpildē.</w:t>
      </w:r>
      <w:r w:rsidR="00AC001B">
        <w:rPr>
          <w:rStyle w:val="FootnoteReference"/>
        </w:rPr>
        <w:footnoteReference w:id="42"/>
      </w:r>
      <w:r w:rsidR="00077384">
        <w:t xml:space="preserve"> To</w:t>
      </w:r>
      <w:r w:rsidR="0029675E">
        <w:t xml:space="preserve">, vai </w:t>
      </w:r>
      <w:r w:rsidR="00077384">
        <w:t>šāda nodošana ir iespējama, ievērojot Eiropas Savienības Tiesas judikatūru, ir jāizvērtē dalībvalsts tiesai.</w:t>
      </w:r>
      <w:r w:rsidR="00DF41D8">
        <w:rPr>
          <w:rStyle w:val="FootnoteReference"/>
        </w:rPr>
        <w:footnoteReference w:id="43"/>
      </w:r>
    </w:p>
    <w:p w14:paraId="12E20787" w14:textId="77777777" w:rsidR="0020349C" w:rsidRDefault="0020349C" w:rsidP="0021262B">
      <w:pPr>
        <w:spacing w:after="0"/>
        <w:ind w:firstLine="539"/>
        <w:jc w:val="both"/>
        <w:rPr>
          <w:rFonts w:ascii="TimesNewRomanPSMT" w:eastAsiaTheme="minorHAnsi" w:hAnsi="TimesNewRomanPSMT" w:cs="TimesNewRomanPSMT"/>
        </w:rPr>
      </w:pPr>
    </w:p>
    <w:p w14:paraId="48425823" w14:textId="6939CFF2" w:rsidR="00700CF7" w:rsidRPr="001A67FD" w:rsidRDefault="00D826BC" w:rsidP="00270EB6">
      <w:pPr>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2) </w:t>
      </w:r>
      <w:r w:rsidR="00E46FFB" w:rsidRPr="001A67FD">
        <w:rPr>
          <w:rFonts w:ascii="TimesNewRomanPSMT" w:eastAsiaTheme="minorHAnsi" w:hAnsi="TimesNewRomanPSMT" w:cs="TimesNewRomanPSMT"/>
          <w:b/>
        </w:rPr>
        <w:t>Iestādes ties</w:t>
      </w:r>
      <w:r w:rsidR="006A7CBD" w:rsidRPr="001A67FD">
        <w:rPr>
          <w:rFonts w:ascii="TimesNewRomanPSMT" w:eastAsiaTheme="minorHAnsi" w:hAnsi="TimesNewRomanPSMT" w:cs="TimesNewRomanPSMT"/>
          <w:b/>
        </w:rPr>
        <w:t xml:space="preserve">ības prasīt </w:t>
      </w:r>
      <w:r w:rsidR="002059C9" w:rsidRPr="001A67FD">
        <w:rPr>
          <w:rFonts w:ascii="TimesNewRomanPSMT" w:eastAsiaTheme="minorHAnsi" w:hAnsi="TimesNewRomanPSMT" w:cs="TimesNewRomanPSMT"/>
          <w:b/>
        </w:rPr>
        <w:t xml:space="preserve">no pretendenta </w:t>
      </w:r>
      <w:r w:rsidR="006A7CBD" w:rsidRPr="001A67FD">
        <w:rPr>
          <w:rFonts w:ascii="TimesNewRomanPSMT" w:eastAsiaTheme="minorHAnsi" w:hAnsi="TimesNewRomanPSMT" w:cs="TimesNewRomanPSMT"/>
          <w:b/>
        </w:rPr>
        <w:t xml:space="preserve">noteiktu saikni ar </w:t>
      </w:r>
      <w:r w:rsidR="002059C9" w:rsidRPr="001A67FD">
        <w:rPr>
          <w:rFonts w:ascii="TimesNewRomanPSMT" w:eastAsiaTheme="minorHAnsi" w:hAnsi="TimesNewRomanPSMT" w:cs="TimesNewRomanPSMT"/>
          <w:b/>
        </w:rPr>
        <w:t>tiem</w:t>
      </w:r>
      <w:r w:rsidR="006A7CBD" w:rsidRPr="001A67FD">
        <w:rPr>
          <w:rFonts w:ascii="TimesNewRomanPSMT" w:eastAsiaTheme="minorHAnsi" w:hAnsi="TimesNewRomanPSMT" w:cs="TimesNewRomanPSMT"/>
          <w:b/>
        </w:rPr>
        <w:t xml:space="preserve"> subjektiem</w:t>
      </w:r>
      <w:r w:rsidR="002059C9" w:rsidRPr="001A67FD">
        <w:rPr>
          <w:rFonts w:ascii="TimesNewRomanPSMT" w:eastAsiaTheme="minorHAnsi" w:hAnsi="TimesNewRomanPSMT" w:cs="TimesNewRomanPSMT"/>
          <w:b/>
        </w:rPr>
        <w:t>, uz kuru iespējām</w:t>
      </w:r>
      <w:r w:rsidR="00C217AD" w:rsidRPr="001A67FD">
        <w:rPr>
          <w:rFonts w:ascii="TimesNewRomanPSMT" w:eastAsiaTheme="minorHAnsi" w:hAnsi="TimesNewRomanPSMT" w:cs="TimesNewRomanPSMT"/>
          <w:b/>
        </w:rPr>
        <w:t xml:space="preserve"> tas atsaucas</w:t>
      </w:r>
    </w:p>
    <w:p w14:paraId="18C8CBE1" w14:textId="54DA67EE" w:rsidR="006A7CBD" w:rsidRDefault="007E67D6"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I</w:t>
      </w:r>
      <w:r w:rsidRPr="007E67D6">
        <w:rPr>
          <w:rFonts w:ascii="TimesNewRomanPSMT" w:eastAsiaTheme="minorHAnsi" w:hAnsi="TimesNewRomanPSMT" w:cs="TimesNewRomanPSMT"/>
        </w:rPr>
        <w:t>kviena saimnieciskās darbības subjekta tiesības izmantot citu subjektu iespējas, ciktāl tas ir pierādījis līgumslēdzējai iestādei, ka kandidāta vai pretendenta rīcībā faktiski būs šo subjektu līdzekļi, kas ir nepieciešami attiecīgā līguma izpildei.</w:t>
      </w:r>
      <w:r w:rsidR="001A67FD">
        <w:rPr>
          <w:rFonts w:ascii="TimesNewRomanPSMT" w:eastAsiaTheme="minorHAnsi" w:hAnsi="TimesNewRomanPSMT" w:cs="TimesNewRomanPSMT"/>
        </w:rPr>
        <w:t xml:space="preserve"> </w:t>
      </w:r>
      <w:r w:rsidR="001A67FD" w:rsidRPr="001A67FD">
        <w:rPr>
          <w:rFonts w:ascii="TimesNewRomanPSMT" w:eastAsiaTheme="minorHAnsi" w:hAnsi="TimesNewRomanPSMT" w:cs="TimesNewRomanPSMT"/>
        </w:rPr>
        <w:t>Šim nolūkam, lai gan pretendentam ir jāpierāda, ka tā rīcībā patiešām ir to resursi, kuri tam pašam nepieder un kuri ir nepieciešami konkrētā līguma īstenošanai, pretendents var brīvi izvēlēties, pirmkārt, saistību, ko tas grasās izveidot ar citiem subjektiem, uz kuru iespējām tas balstās šī līguma izpildei, tiesisko raksturu un, otrkārt, šo saistību esamības pierādīšanas veidu.</w:t>
      </w:r>
      <w:r w:rsidR="00A2185F">
        <w:rPr>
          <w:rStyle w:val="FootnoteReference"/>
          <w:rFonts w:ascii="TimesNewRomanPSMT" w:eastAsiaTheme="minorHAnsi" w:hAnsi="TimesNewRomanPSMT" w:cs="TimesNewRomanPSMT"/>
        </w:rPr>
        <w:footnoteReference w:id="44"/>
      </w:r>
      <w:r w:rsidR="00B22AF0">
        <w:rPr>
          <w:rFonts w:ascii="TimesNewRomanPSMT" w:eastAsiaTheme="minorHAnsi" w:hAnsi="TimesNewRomanPSMT" w:cs="TimesNewRomanPSMT"/>
        </w:rPr>
        <w:t xml:space="preserve"> </w:t>
      </w:r>
      <w:r w:rsidR="007B4396">
        <w:rPr>
          <w:rFonts w:ascii="TimesNewRomanPSMT" w:eastAsiaTheme="minorHAnsi" w:hAnsi="TimesNewRomanPSMT" w:cs="TimesNewRomanPSMT"/>
        </w:rPr>
        <w:t>L</w:t>
      </w:r>
      <w:r w:rsidR="007B4396" w:rsidRPr="007B4396">
        <w:rPr>
          <w:rFonts w:ascii="TimesNewRomanPSMT" w:eastAsiaTheme="minorHAnsi" w:hAnsi="TimesNewRomanPSMT" w:cs="TimesNewRomanPSMT"/>
        </w:rPr>
        <w:t>īgumslēdzēja iestāde principā nevar noteikt tiešus nosacījumus, ar kuriem var tikt aizskarta ikviena saimnieciskās darbības subjekta tiesību izmantot citu subjektu iespējas īstenošana, tostarp, iepriekš paredzot konkrētu kārtību, atbilstoši kurai šo citu subjektu iespējas var tikt ņemtas vērā. Šis konstatējums ir nozīmīgs it īpaši tāpēc, ka praksē</w:t>
      </w:r>
      <w:r w:rsidR="00AC11A6">
        <w:rPr>
          <w:rFonts w:ascii="TimesNewRomanPSMT" w:eastAsiaTheme="minorHAnsi" w:hAnsi="TimesNewRomanPSMT" w:cs="TimesNewRomanPSMT"/>
        </w:rPr>
        <w:t xml:space="preserve"> </w:t>
      </w:r>
      <w:r w:rsidR="007B4396" w:rsidRPr="007B4396">
        <w:rPr>
          <w:rFonts w:ascii="TimesNewRomanPSMT" w:eastAsiaTheme="minorHAnsi" w:hAnsi="TimesNewRomanPSMT" w:cs="TimesNewRomanPSMT"/>
        </w:rPr>
        <w:t>saimnieciskās darbības subjektam ir grūti vai pat neiespējami iepriekš paredzēt visus citu subjektu iespēju izmantošanas iespējamos scenārijus.</w:t>
      </w:r>
      <w:r w:rsidR="008A2C24">
        <w:rPr>
          <w:rStyle w:val="FootnoteReference"/>
          <w:rFonts w:ascii="TimesNewRomanPSMT" w:eastAsiaTheme="minorHAnsi" w:hAnsi="TimesNewRomanPSMT" w:cs="TimesNewRomanPSMT"/>
        </w:rPr>
        <w:footnoteReference w:id="45"/>
      </w:r>
    </w:p>
    <w:p w14:paraId="16C0C743" w14:textId="3F177208" w:rsidR="00AC11A6" w:rsidRDefault="00AC11A6" w:rsidP="00AC11A6">
      <w:pPr>
        <w:spacing w:after="0"/>
        <w:ind w:firstLine="540"/>
        <w:jc w:val="both"/>
        <w:rPr>
          <w:rFonts w:ascii="TimesNewRomanPSMT" w:eastAsiaTheme="minorHAnsi" w:hAnsi="TimesNewRomanPSMT" w:cs="TimesNewRomanPSMT"/>
        </w:rPr>
      </w:pPr>
      <w:r w:rsidRPr="00AC11A6">
        <w:rPr>
          <w:rFonts w:ascii="TimesNewRomanPSMT" w:eastAsiaTheme="minorHAnsi" w:hAnsi="TimesNewRomanPSMT" w:cs="TimesNewRomanPSMT"/>
        </w:rPr>
        <w:t>Tomēr, kā</w:t>
      </w:r>
      <w:r>
        <w:rPr>
          <w:rFonts w:ascii="TimesNewRomanPSMT" w:eastAsiaTheme="minorHAnsi" w:hAnsi="TimesNewRomanPSMT" w:cs="TimesNewRomanPSMT"/>
        </w:rPr>
        <w:t xml:space="preserve"> tas norādīts jau iepriekš, </w:t>
      </w:r>
      <w:r w:rsidRPr="00AC11A6">
        <w:rPr>
          <w:rFonts w:ascii="TimesNewRomanPSMT" w:eastAsiaTheme="minorHAnsi" w:hAnsi="TimesNewRomanPSMT" w:cs="TimesNewRomanPSMT"/>
        </w:rPr>
        <w:t>īpašos apstākļos, ievērojot attiecīgā līguma priekšmetu, kā arī tā mērķus, šo tiesību īstenošana var tikt ierobežota.</w:t>
      </w:r>
      <w:r>
        <w:rPr>
          <w:rFonts w:ascii="TimesNewRomanPSMT" w:eastAsiaTheme="minorHAnsi" w:hAnsi="TimesNewRomanPSMT" w:cs="TimesNewRomanPSMT"/>
        </w:rPr>
        <w:t xml:space="preserve"> </w:t>
      </w:r>
      <w:r w:rsidR="00B96048">
        <w:rPr>
          <w:rFonts w:ascii="TimesNewRomanPSMT" w:eastAsiaTheme="minorHAnsi" w:hAnsi="TimesNewRomanPSMT" w:cs="TimesNewRomanPSMT"/>
        </w:rPr>
        <w:t xml:space="preserve">Tādēļ </w:t>
      </w:r>
      <w:r w:rsidRPr="00AC11A6">
        <w:rPr>
          <w:rFonts w:ascii="TimesNewRomanPSMT" w:eastAsiaTheme="minorHAnsi" w:hAnsi="TimesNewRomanPSMT" w:cs="TimesNewRomanPSMT"/>
        </w:rPr>
        <w:t>nevar tikt izslēgts, ka attiecīgā līguma pareizas izpildes nolūkā līgumslēdzēja iestāde paziņojumā par līgumu vai iepirkuma procedūras specifikācijās varētu tieši norādīt precīzus noteikumus, ar kādiem saimnieciskās darbības subjekts var izmantot citu subjektu iespējas.</w:t>
      </w:r>
      <w:r w:rsidR="000C1C6E">
        <w:rPr>
          <w:rFonts w:ascii="TimesNewRomanPSMT" w:eastAsiaTheme="minorHAnsi" w:hAnsi="TimesNewRomanPSMT" w:cs="TimesNewRomanPSMT"/>
        </w:rPr>
        <w:t xml:space="preserve"> </w:t>
      </w:r>
      <w:r w:rsidR="00A00072" w:rsidRPr="00A00072">
        <w:rPr>
          <w:rFonts w:ascii="TimesNewRomanPSMT" w:eastAsiaTheme="minorHAnsi" w:hAnsi="TimesNewRomanPSMT" w:cs="TimesNewRomanPSMT"/>
        </w:rPr>
        <w:t xml:space="preserve">Tomēr, ja līgumslēdzēja iestāde nolemj izmantot šādu iespēju, tai ir jāpārliecinās, ka tās paredzētie </w:t>
      </w:r>
      <w:r w:rsidR="00A00072" w:rsidRPr="00A00072">
        <w:rPr>
          <w:rFonts w:ascii="TimesNewRomanPSMT" w:eastAsiaTheme="minorHAnsi" w:hAnsi="TimesNewRomanPSMT" w:cs="TimesNewRomanPSMT"/>
        </w:rPr>
        <w:lastRenderedPageBreak/>
        <w:t>noteikumi ir saistīti un samērīgi ar minētā līguma priekšmetu un mērķiem.</w:t>
      </w:r>
      <w:r w:rsidR="00B84C33">
        <w:rPr>
          <w:rStyle w:val="FootnoteReference"/>
          <w:rFonts w:ascii="TimesNewRomanPSMT" w:eastAsiaTheme="minorHAnsi" w:hAnsi="TimesNewRomanPSMT" w:cs="TimesNewRomanPSMT"/>
        </w:rPr>
        <w:footnoteReference w:id="46"/>
      </w:r>
      <w:r w:rsidR="00E55B05">
        <w:rPr>
          <w:rFonts w:ascii="TimesNewRomanPSMT" w:eastAsiaTheme="minorHAnsi" w:hAnsi="TimesNewRomanPSMT" w:cs="TimesNewRomanPSMT"/>
        </w:rPr>
        <w:t xml:space="preserve"> </w:t>
      </w:r>
      <w:r w:rsidR="00E55B05" w:rsidRPr="00E55B05">
        <w:rPr>
          <w:rFonts w:ascii="TimesNewRomanPSMT" w:eastAsiaTheme="minorHAnsi" w:hAnsi="TimesNewRomanPSMT" w:cs="TimesNewRomanPSMT"/>
        </w:rPr>
        <w:t>Šāda prasība turklāt ļauj nodrošināt, ka saistībā ar līgumslēdzējas iestādes paredzētajiem noteikumiem tiek ievērots pārskatāmības princips, katrā ziņā atstājot saimnieciskās darbības subjektiem iespēju piedāvāt līgumslēdzējai iestādei alternatīvu citu subjektu iespēju izmantošanas kārtību, kas nodrošinātu, ka minēto iespēju nodošana rīcībā patiešām tiks veikta.</w:t>
      </w:r>
      <w:r w:rsidR="001E2655">
        <w:rPr>
          <w:rStyle w:val="FootnoteReference"/>
          <w:rFonts w:ascii="TimesNewRomanPSMT" w:eastAsiaTheme="minorHAnsi" w:hAnsi="TimesNewRomanPSMT" w:cs="TimesNewRomanPSMT"/>
        </w:rPr>
        <w:footnoteReference w:id="47"/>
      </w:r>
    </w:p>
    <w:p w14:paraId="190CDCA3" w14:textId="77777777" w:rsidR="00C217AD" w:rsidRDefault="00C217AD" w:rsidP="00270EB6">
      <w:pPr>
        <w:spacing w:after="0"/>
        <w:ind w:firstLine="540"/>
        <w:jc w:val="both"/>
        <w:rPr>
          <w:rFonts w:ascii="TimesNewRomanPSMT" w:eastAsiaTheme="minorHAnsi" w:hAnsi="TimesNewRomanPSMT" w:cs="TimesNewRomanPSMT"/>
        </w:rPr>
      </w:pPr>
    </w:p>
    <w:p w14:paraId="7FFFD0C9" w14:textId="77777777" w:rsidR="00994854" w:rsidRDefault="00994854" w:rsidP="00270EB6">
      <w:pPr>
        <w:spacing w:after="0"/>
        <w:ind w:firstLine="540"/>
        <w:jc w:val="both"/>
        <w:rPr>
          <w:rFonts w:ascii="TimesNewRomanPSMT" w:eastAsiaTheme="minorHAnsi" w:hAnsi="TimesNewRomanPSMT" w:cs="TimesNewRomanPSMT"/>
          <w:b/>
        </w:rPr>
      </w:pPr>
    </w:p>
    <w:p w14:paraId="464CA69E" w14:textId="797D0E33" w:rsidR="00F52BE6" w:rsidRPr="00F52BE6" w:rsidRDefault="00F52BE6" w:rsidP="00270EB6">
      <w:pPr>
        <w:spacing w:after="0"/>
        <w:ind w:firstLine="540"/>
        <w:jc w:val="both"/>
        <w:rPr>
          <w:rFonts w:ascii="TimesNewRomanPSMT" w:eastAsiaTheme="minorHAnsi" w:hAnsi="TimesNewRomanPSMT" w:cs="TimesNewRomanPSMT"/>
          <w:b/>
        </w:rPr>
      </w:pPr>
      <w:r w:rsidRPr="00F52BE6">
        <w:rPr>
          <w:rFonts w:ascii="TimesNewRomanPSMT" w:eastAsiaTheme="minorHAnsi" w:hAnsi="TimesNewRomanPSMT" w:cs="TimesNewRomanPSMT"/>
          <w:b/>
        </w:rPr>
        <w:t>Kandidāta vai pretendenta personiskie dati</w:t>
      </w:r>
      <w:r w:rsidR="004B70E9">
        <w:rPr>
          <w:rFonts w:ascii="TimesNewRomanPSMT" w:eastAsiaTheme="minorHAnsi" w:hAnsi="TimesNewRomanPSMT" w:cs="TimesNewRomanPSMT"/>
          <w:b/>
        </w:rPr>
        <w:t xml:space="preserve"> kā izslēgšanas pamats no dalības konkursā</w:t>
      </w:r>
    </w:p>
    <w:p w14:paraId="05A0C475" w14:textId="77777777" w:rsidR="00F52BE6" w:rsidRDefault="00F52BE6" w:rsidP="00270EB6">
      <w:pPr>
        <w:spacing w:after="0"/>
        <w:ind w:firstLine="540"/>
        <w:jc w:val="both"/>
        <w:rPr>
          <w:rFonts w:ascii="TimesNewRomanPSMT" w:eastAsiaTheme="minorHAnsi" w:hAnsi="TimesNewRomanPSMT" w:cs="TimesNewRomanPSMT"/>
        </w:rPr>
      </w:pPr>
    </w:p>
    <w:p w14:paraId="5E87252D" w14:textId="5369E05F" w:rsidR="00CD111B" w:rsidRDefault="00F52BE6" w:rsidP="00270EB6">
      <w:pPr>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1) </w:t>
      </w:r>
      <w:r w:rsidR="00C36A18">
        <w:rPr>
          <w:rFonts w:ascii="TimesNewRomanPSMT" w:eastAsiaTheme="minorHAnsi" w:hAnsi="TimesNewRomanPSMT" w:cs="TimesNewRomanPSMT"/>
          <w:b/>
        </w:rPr>
        <w:t>K</w:t>
      </w:r>
      <w:r w:rsidR="00BC631A">
        <w:rPr>
          <w:rFonts w:ascii="TimesNewRomanPSMT" w:eastAsiaTheme="minorHAnsi" w:hAnsi="TimesNewRomanPSMT" w:cs="TimesNewRomanPSMT"/>
          <w:b/>
        </w:rPr>
        <w:t xml:space="preserve">andidāta izslēgšana </w:t>
      </w:r>
      <w:r w:rsidR="00C36A18">
        <w:rPr>
          <w:rFonts w:ascii="TimesNewRomanPSMT" w:eastAsiaTheme="minorHAnsi" w:hAnsi="TimesNewRomanPSMT" w:cs="TimesNewRomanPSMT"/>
          <w:b/>
        </w:rPr>
        <w:t xml:space="preserve">no iepirkuma </w:t>
      </w:r>
      <w:r w:rsidR="00BC631A">
        <w:rPr>
          <w:rFonts w:ascii="TimesNewRomanPSMT" w:eastAsiaTheme="minorHAnsi" w:hAnsi="TimesNewRomanPSMT" w:cs="TimesNewRomanPSMT"/>
          <w:b/>
        </w:rPr>
        <w:t>saistībā ar viņa</w:t>
      </w:r>
      <w:r w:rsidR="006D2E47" w:rsidRPr="006D2E47">
        <w:rPr>
          <w:rFonts w:ascii="TimesNewRomanPSMT" w:eastAsiaTheme="minorHAnsi" w:hAnsi="TimesNewRomanPSMT" w:cs="TimesNewRomanPSMT"/>
          <w:b/>
        </w:rPr>
        <w:t xml:space="preserve"> profesionālo </w:t>
      </w:r>
      <w:r w:rsidR="007F227E">
        <w:rPr>
          <w:rFonts w:ascii="TimesNewRomanPSMT" w:eastAsiaTheme="minorHAnsi" w:hAnsi="TimesNewRomanPSMT" w:cs="TimesNewRomanPSMT"/>
          <w:b/>
        </w:rPr>
        <w:t>ne</w:t>
      </w:r>
      <w:r w:rsidR="006D2E47" w:rsidRPr="006D2E47">
        <w:rPr>
          <w:rFonts w:ascii="TimesNewRomanPSMT" w:eastAsiaTheme="minorHAnsi" w:hAnsi="TimesNewRomanPSMT" w:cs="TimesNewRomanPSMT"/>
          <w:b/>
        </w:rPr>
        <w:t>godīgumu, mak</w:t>
      </w:r>
      <w:r w:rsidR="00BC631A">
        <w:rPr>
          <w:rFonts w:ascii="TimesNewRomanPSMT" w:eastAsiaTheme="minorHAnsi" w:hAnsi="TimesNewRomanPSMT" w:cs="TimesNewRomanPSMT"/>
          <w:b/>
        </w:rPr>
        <w:t>sāt</w:t>
      </w:r>
      <w:r w:rsidR="007F227E">
        <w:rPr>
          <w:rFonts w:ascii="TimesNewRomanPSMT" w:eastAsiaTheme="minorHAnsi" w:hAnsi="TimesNewRomanPSMT" w:cs="TimesNewRomanPSMT"/>
          <w:b/>
        </w:rPr>
        <w:t>ne</w:t>
      </w:r>
      <w:r w:rsidR="00BC631A">
        <w:rPr>
          <w:rFonts w:ascii="TimesNewRomanPSMT" w:eastAsiaTheme="minorHAnsi" w:hAnsi="TimesNewRomanPSMT" w:cs="TimesNewRomanPSMT"/>
          <w:b/>
        </w:rPr>
        <w:t xml:space="preserve">spēju vai </w:t>
      </w:r>
      <w:r w:rsidR="007F227E">
        <w:rPr>
          <w:rFonts w:ascii="TimesNewRomanPSMT" w:eastAsiaTheme="minorHAnsi" w:hAnsi="TimesNewRomanPSMT" w:cs="TimesNewRomanPSMT"/>
          <w:b/>
        </w:rPr>
        <w:t>ne</w:t>
      </w:r>
      <w:r w:rsidR="00BC631A">
        <w:rPr>
          <w:rFonts w:ascii="TimesNewRomanPSMT" w:eastAsiaTheme="minorHAnsi" w:hAnsi="TimesNewRomanPSMT" w:cs="TimesNewRomanPSMT"/>
          <w:b/>
        </w:rPr>
        <w:t>uzticamību saistītajiem</w:t>
      </w:r>
      <w:r w:rsidR="007F227E">
        <w:rPr>
          <w:rFonts w:ascii="TimesNewRomanPSMT" w:eastAsiaTheme="minorHAnsi" w:hAnsi="TimesNewRomanPSMT" w:cs="TimesNewRomanPSMT"/>
          <w:b/>
        </w:rPr>
        <w:t xml:space="preserve"> izslēgšanas gadījumiem</w:t>
      </w:r>
    </w:p>
    <w:p w14:paraId="01AA224B" w14:textId="29B8A997" w:rsidR="00CD111B" w:rsidRPr="004C32BE" w:rsidRDefault="00D011B8"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S</w:t>
      </w:r>
      <w:r w:rsidR="004C32BE" w:rsidRPr="004C32BE">
        <w:rPr>
          <w:rFonts w:ascii="TimesNewRomanPSMT" w:eastAsiaTheme="minorHAnsi" w:hAnsi="TimesNewRomanPSMT" w:cs="TimesNewRomanPSMT"/>
        </w:rPr>
        <w:t>aistībā ar Direktīvas 2004/18 piemērošanas jomā ietilpstošajiem p</w:t>
      </w:r>
      <w:r w:rsidR="00713F60">
        <w:rPr>
          <w:rFonts w:ascii="TimesNewRomanPSMT" w:eastAsiaTheme="minorHAnsi" w:hAnsi="TimesNewRomanPSMT" w:cs="TimesNewRomanPSMT"/>
        </w:rPr>
        <w:t>ubliskajiem iepirkumiem tās 45.panta 2.p</w:t>
      </w:r>
      <w:r w:rsidR="004C32BE" w:rsidRPr="004C32BE">
        <w:rPr>
          <w:rFonts w:ascii="TimesNewRomanPSMT" w:eastAsiaTheme="minorHAnsi" w:hAnsi="TimesNewRomanPSMT" w:cs="TimesNewRomanPSMT"/>
        </w:rPr>
        <w:t>unktā minēto septiņu ar kandidātu profesionālo godīgumu, maksātspēju vai uzticamību saistīto izslēgšanas gadījumu piemērošanu šajā pantā ir paredzēts atstāt dalībvalstu ziņā, par ko liecina šīs tiesību normas sākumā rodamā frāze “dalību līgumā var atteikt”</w:t>
      </w:r>
      <w:r w:rsidR="00713F60">
        <w:rPr>
          <w:rFonts w:ascii="TimesNewRomanPSMT" w:eastAsiaTheme="minorHAnsi" w:hAnsi="TimesNewRomanPSMT" w:cs="TimesNewRomanPSMT"/>
        </w:rPr>
        <w:t>. Turklāt saskaņā ar šā 45.panta 2.</w:t>
      </w:r>
      <w:r w:rsidR="004C32BE" w:rsidRPr="004C32BE">
        <w:rPr>
          <w:rFonts w:ascii="TimesNewRomanPSMT" w:eastAsiaTheme="minorHAnsi" w:hAnsi="TimesNewRomanPSMT" w:cs="TimesNewRomanPSMT"/>
        </w:rPr>
        <w:t>punkta otro daļu</w:t>
      </w:r>
      <w:r w:rsidR="00713F60">
        <w:rPr>
          <w:rFonts w:ascii="TimesNewRomanPSMT" w:eastAsiaTheme="minorHAnsi" w:hAnsi="TimesNewRomanPSMT" w:cs="TimesNewRomanPSMT"/>
        </w:rPr>
        <w:t xml:space="preserve"> dalībvalstīm ir jāparedz šā 2.</w:t>
      </w:r>
      <w:r w:rsidR="004C32BE" w:rsidRPr="004C32BE">
        <w:rPr>
          <w:rFonts w:ascii="TimesNewRomanPSMT" w:eastAsiaTheme="minorHAnsi" w:hAnsi="TimesNewRomanPSMT" w:cs="TimesNewRomanPSMT"/>
        </w:rPr>
        <w:t xml:space="preserve">punkta īstenošanas nosacījumi saskaņā ar saviem valsts tiesību aktiem un ievērojot </w:t>
      </w:r>
      <w:r w:rsidR="00713F60">
        <w:rPr>
          <w:rFonts w:ascii="TimesNewRomanPSMT" w:eastAsiaTheme="minorHAnsi" w:hAnsi="TimesNewRomanPSMT" w:cs="TimesNewRomanPSMT"/>
        </w:rPr>
        <w:t xml:space="preserve">Eiropas </w:t>
      </w:r>
      <w:r w:rsidR="004C32BE" w:rsidRPr="004C32BE">
        <w:rPr>
          <w:rFonts w:ascii="TimesNewRomanPSMT" w:eastAsiaTheme="minorHAnsi" w:hAnsi="TimesNewRomanPSMT" w:cs="TimesNewRomanPSMT"/>
        </w:rPr>
        <w:t>Savienības tiesības</w:t>
      </w:r>
      <w:r w:rsidR="001256C5">
        <w:rPr>
          <w:rFonts w:ascii="TimesNewRomanPSMT" w:eastAsiaTheme="minorHAnsi" w:hAnsi="TimesNewRomanPSMT" w:cs="TimesNewRomanPSMT"/>
        </w:rPr>
        <w:t>.</w:t>
      </w:r>
      <w:r w:rsidR="001256C5">
        <w:rPr>
          <w:rStyle w:val="FootnoteReference"/>
          <w:rFonts w:ascii="TimesNewRomanPSMT" w:eastAsiaTheme="minorHAnsi" w:hAnsi="TimesNewRomanPSMT" w:cs="TimesNewRomanPSMT"/>
        </w:rPr>
        <w:footnoteReference w:id="48"/>
      </w:r>
      <w:r w:rsidR="004C32BE" w:rsidRPr="004C32BE">
        <w:rPr>
          <w:rFonts w:ascii="TimesNewRomanPSMT" w:eastAsiaTheme="minorHAnsi" w:hAnsi="TimesNewRomanPSMT" w:cs="TimesNewRomanPSMT"/>
        </w:rPr>
        <w:t xml:space="preserve"> </w:t>
      </w:r>
      <w:r w:rsidR="007273B6" w:rsidRPr="007273B6">
        <w:rPr>
          <w:rFonts w:ascii="TimesNewRomanPSMT" w:eastAsiaTheme="minorHAnsi" w:hAnsi="TimesNewRomanPSMT" w:cs="TimesNewRomanPSMT"/>
        </w:rPr>
        <w:t>Lī</w:t>
      </w:r>
      <w:r w:rsidR="007273B6">
        <w:rPr>
          <w:rFonts w:ascii="TimesNewRomanPSMT" w:eastAsiaTheme="minorHAnsi" w:hAnsi="TimesNewRomanPSMT" w:cs="TimesNewRomanPSMT"/>
        </w:rPr>
        <w:t>dz ar to Direktīvas 2004/18 45.panta 2.</w:t>
      </w:r>
      <w:r w:rsidR="007273B6" w:rsidRPr="007273B6">
        <w:rPr>
          <w:rFonts w:ascii="TimesNewRomanPSMT" w:eastAsiaTheme="minorHAnsi" w:hAnsi="TimesNewRomanPSMT" w:cs="TimesNewRomanPSMT"/>
        </w:rPr>
        <w:t xml:space="preserve">punktā nav paredzēts, ka tajā norādītie izslēgšanas pamati visā </w:t>
      </w:r>
      <w:r w:rsidR="007273B6">
        <w:rPr>
          <w:rFonts w:ascii="TimesNewRomanPSMT" w:eastAsiaTheme="minorHAnsi" w:hAnsi="TimesNewRomanPSMT" w:cs="TimesNewRomanPSMT"/>
        </w:rPr>
        <w:t xml:space="preserve">Eiropas </w:t>
      </w:r>
      <w:r w:rsidR="007273B6" w:rsidRPr="007273B6">
        <w:rPr>
          <w:rFonts w:ascii="TimesNewRomanPSMT" w:eastAsiaTheme="minorHAnsi" w:hAnsi="TimesNewRomanPSMT" w:cs="TimesNewRomanPSMT"/>
        </w:rPr>
        <w:t>Savienībā būtu jāpiemēro vienveidīgi, jo dalībvalstīm ir tiesības šos izslēgšanas pamatus vai nu nepiemērot vispār, vai arī valsts tiesiskajā regulējumā iekļaut ar dažādu stingruma pakāpi, kas var atšķirties atkarībā no situācijas, ņemot vērā valsts līmenī pastāvošus juridiska, ekonomiska vai sociāla rakstura apsvērumus. Šajā ziņā dalībvalstīm ir tiesības atvieglot vai mīkstināt šajā tiesību normā noteiktos kritērijus</w:t>
      </w:r>
      <w:r w:rsidR="007273B6">
        <w:rPr>
          <w:rFonts w:ascii="TimesNewRomanPSMT" w:eastAsiaTheme="minorHAnsi" w:hAnsi="TimesNewRomanPSMT" w:cs="TimesNewRomanPSMT"/>
        </w:rPr>
        <w:t>.</w:t>
      </w:r>
      <w:r w:rsidR="007273B6">
        <w:rPr>
          <w:rStyle w:val="FootnoteReference"/>
          <w:rFonts w:ascii="TimesNewRomanPSMT" w:eastAsiaTheme="minorHAnsi" w:hAnsi="TimesNewRomanPSMT" w:cs="TimesNewRomanPSMT"/>
        </w:rPr>
        <w:footnoteReference w:id="49"/>
      </w:r>
      <w:r w:rsidR="007273B6" w:rsidRPr="007273B6">
        <w:rPr>
          <w:rFonts w:ascii="TimesNewRomanPSMT" w:eastAsiaTheme="minorHAnsi" w:hAnsi="TimesNewRomanPSMT" w:cs="TimesNewRomanPSMT"/>
        </w:rPr>
        <w:t xml:space="preserve"> </w:t>
      </w:r>
    </w:p>
    <w:p w14:paraId="33851014" w14:textId="77777777" w:rsidR="00E15435" w:rsidRDefault="00E15435" w:rsidP="00270EB6">
      <w:pPr>
        <w:spacing w:after="0"/>
        <w:ind w:firstLine="540"/>
        <w:jc w:val="both"/>
        <w:rPr>
          <w:rFonts w:ascii="TimesNewRomanPSMT" w:eastAsiaTheme="minorHAnsi" w:hAnsi="TimesNewRomanPSMT" w:cs="TimesNewRomanPSMT"/>
          <w:b/>
        </w:rPr>
      </w:pPr>
    </w:p>
    <w:p w14:paraId="19CE4EC8" w14:textId="64093CFC" w:rsidR="0050050B" w:rsidRDefault="000259C7" w:rsidP="00270EB6">
      <w:pPr>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2) </w:t>
      </w:r>
      <w:r w:rsidR="002D5E0B">
        <w:rPr>
          <w:rFonts w:ascii="TimesNewRomanPSMT" w:eastAsiaTheme="minorHAnsi" w:hAnsi="TimesNewRomanPSMT" w:cs="TimesNewRomanPSMT"/>
          <w:b/>
        </w:rPr>
        <w:t>P</w:t>
      </w:r>
      <w:r w:rsidR="002D5E0B" w:rsidRPr="000259C7">
        <w:rPr>
          <w:rFonts w:ascii="TimesNewRomanPSMT" w:eastAsiaTheme="minorHAnsi" w:hAnsi="TimesNewRomanPSMT" w:cs="TimesNewRomanPSMT"/>
          <w:b/>
        </w:rPr>
        <w:t>ārkāpum</w:t>
      </w:r>
      <w:r w:rsidR="002D5E0B">
        <w:rPr>
          <w:rFonts w:ascii="TimesNewRomanPSMT" w:eastAsiaTheme="minorHAnsi" w:hAnsi="TimesNewRomanPSMT" w:cs="TimesNewRomanPSMT"/>
          <w:b/>
        </w:rPr>
        <w:t>i</w:t>
      </w:r>
      <w:r w:rsidR="002D5E0B" w:rsidRPr="000259C7">
        <w:rPr>
          <w:rFonts w:ascii="TimesNewRomanPSMT" w:eastAsiaTheme="minorHAnsi" w:hAnsi="TimesNewRomanPSMT" w:cs="TimesNewRomanPSMT"/>
          <w:b/>
        </w:rPr>
        <w:t xml:space="preserve"> </w:t>
      </w:r>
      <w:r w:rsidRPr="000259C7">
        <w:rPr>
          <w:rFonts w:ascii="TimesNewRomanPSMT" w:eastAsiaTheme="minorHAnsi" w:hAnsi="TimesNewRomanPSMT" w:cs="TimesNewRomanPSMT"/>
          <w:b/>
        </w:rPr>
        <w:t>sociālā nodrošinājuma iemaksu jomā</w:t>
      </w:r>
      <w:r>
        <w:rPr>
          <w:rFonts w:ascii="TimesNewRomanPSMT" w:eastAsiaTheme="minorHAnsi" w:hAnsi="TimesNewRomanPSMT" w:cs="TimesNewRomanPSMT"/>
          <w:b/>
        </w:rPr>
        <w:t xml:space="preserve"> kā pamats pretendenta izslēgšanai no </w:t>
      </w:r>
      <w:r w:rsidR="00D960BD">
        <w:rPr>
          <w:rFonts w:ascii="TimesNewRomanPSMT" w:eastAsiaTheme="minorHAnsi" w:hAnsi="TimesNewRomanPSMT" w:cs="TimesNewRomanPSMT"/>
          <w:b/>
        </w:rPr>
        <w:t>dalības iepirkumā</w:t>
      </w:r>
    </w:p>
    <w:p w14:paraId="7652B2CB" w14:textId="1FD3C26F" w:rsidR="000C5ACB" w:rsidRDefault="00040374"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Direktīvas 2004/18 45.</w:t>
      </w:r>
      <w:r w:rsidR="000C5ACB" w:rsidRPr="000C5ACB">
        <w:rPr>
          <w:rFonts w:ascii="TimesNewRomanPSMT" w:eastAsiaTheme="minorHAnsi" w:hAnsi="TimesNewRomanPSMT" w:cs="TimesNewRomanPSMT"/>
        </w:rPr>
        <w:t>pants neaizliedz tādu valsts tiesisko regulējumu, kas uzliek pienākumu līgumslēdzējai iestādei uzskatīt par izslēgšanas pamatu pārkāpumu sociālā nodrošinājuma iemaksu jomā, kurš ir konstatēts sertifikātā, ko pēc savas ierosmes prasa līgumslēdzēja iestāde un ko izsniedz sociālā nodrošinājuma struktūras, ja šis pārkāpums ir bijis dalības konkursā brīdī un pat ja tas vairs neeksistēja līguma piešķiršanas vai pārbaudes, ko veic līgumslēdzēja iestāde pēc savas ierosmes, laikā.</w:t>
      </w:r>
      <w:r w:rsidR="00932EE1">
        <w:rPr>
          <w:rStyle w:val="FootnoteReference"/>
          <w:rFonts w:ascii="TimesNewRomanPSMT" w:eastAsiaTheme="minorHAnsi" w:hAnsi="TimesNewRomanPSMT" w:cs="TimesNewRomanPSMT"/>
        </w:rPr>
        <w:footnoteReference w:id="50"/>
      </w:r>
    </w:p>
    <w:p w14:paraId="7B3A4400" w14:textId="77777777" w:rsidR="00932EE1" w:rsidRPr="00381475" w:rsidRDefault="00932EE1" w:rsidP="00932EE1">
      <w:pPr>
        <w:spacing w:after="0" w:line="240" w:lineRule="auto"/>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932EE1" w:rsidRPr="00381475" w14:paraId="5F143160" w14:textId="77777777" w:rsidTr="006F5810">
        <w:tc>
          <w:tcPr>
            <w:tcW w:w="7932" w:type="dxa"/>
            <w:shd w:val="clear" w:color="auto" w:fill="F2F2F2" w:themeFill="background1" w:themeFillShade="F2"/>
          </w:tcPr>
          <w:p w14:paraId="5D8336E6" w14:textId="6534EAFC" w:rsidR="00D5074D" w:rsidRDefault="00932EE1" w:rsidP="006F5EB2">
            <w:pPr>
              <w:ind w:firstLine="720"/>
              <w:jc w:val="both"/>
            </w:pPr>
            <w:r w:rsidRPr="00381475">
              <w:lastRenderedPageBreak/>
              <w:t xml:space="preserve">Lietā </w:t>
            </w:r>
            <w:r>
              <w:t>„</w:t>
            </w:r>
            <w:r w:rsidR="00585679" w:rsidRPr="00585679">
              <w:t>Ciclat</w:t>
            </w:r>
            <w:r>
              <w:t>”</w:t>
            </w:r>
            <w:r w:rsidR="00585679">
              <w:t xml:space="preserve"> </w:t>
            </w:r>
            <w:r w:rsidR="005E7385">
              <w:t xml:space="preserve">uzņēmums iesniedza piedāvājumu iepirkumā, norādot, ka tas un </w:t>
            </w:r>
            <w:r w:rsidR="00D00899">
              <w:t>tā</w:t>
            </w:r>
            <w:r w:rsidR="005E7385">
              <w:t xml:space="preserve"> apakšuzņēmumi nav pieļāvuši pārkāpumus, kas varētu būt pamats viņu izslēgšanai no iepirkuma. </w:t>
            </w:r>
            <w:r w:rsidR="00D5074D">
              <w:t>Tomēr vēlāk iepirkuma laikā no citas sociālo lietu valsts iestādes tika iegūta informācija (saņemts sertifikāts), ka piedāvājuma iesniedzēja apakšuzņēmum</w:t>
            </w:r>
            <w:r w:rsidR="00D0550A">
              <w:t>s</w:t>
            </w:r>
            <w:r w:rsidR="00D5074D">
              <w:t xml:space="preserve"> </w:t>
            </w:r>
            <w:r w:rsidR="00D5074D" w:rsidRPr="00D5074D">
              <w:t xml:space="preserve">sava paziņojuma </w:t>
            </w:r>
            <w:r w:rsidR="006F5EB2">
              <w:t xml:space="preserve">par pieļauto pārkāpumu neesību </w:t>
            </w:r>
            <w:r w:rsidR="00D5074D" w:rsidRPr="00D5074D">
              <w:t>izteikšanas brīdī nebija vei</w:t>
            </w:r>
            <w:r w:rsidR="00D0550A">
              <w:t>cis</w:t>
            </w:r>
            <w:r w:rsidR="00D5074D" w:rsidRPr="00D5074D">
              <w:t xml:space="preserve"> sociālā nodrošinājuma iemaksas attiecībā uz apdrošināšanas prēmiju izmaksām</w:t>
            </w:r>
            <w:r w:rsidR="006F5EB2">
              <w:t xml:space="preserve">. Pēdējā daļa prēmiju tika pārskaitīta, </w:t>
            </w:r>
            <w:r w:rsidR="00D0550A">
              <w:t xml:space="preserve">īsi </w:t>
            </w:r>
            <w:r w:rsidR="006F5EB2">
              <w:t>pirms bija zināms iepirkuma konkursa rezultāts</w:t>
            </w:r>
            <w:r w:rsidR="00D5074D" w:rsidRPr="00D5074D">
              <w:t>.</w:t>
            </w:r>
            <w:r w:rsidR="005740DE">
              <w:t xml:space="preserve"> </w:t>
            </w:r>
          </w:p>
          <w:p w14:paraId="054FBD0C" w14:textId="32D07679" w:rsidR="00745040" w:rsidRPr="00381475" w:rsidRDefault="00745040" w:rsidP="006F5EB2">
            <w:pPr>
              <w:ind w:firstLine="720"/>
              <w:jc w:val="both"/>
            </w:pPr>
            <w:r>
              <w:t xml:space="preserve">Eiropas Savienības Tiesa atzina, ka </w:t>
            </w:r>
            <w:r w:rsidR="00BC3648">
              <w:t>Direktīvas 2004/18 45.</w:t>
            </w:r>
            <w:r w:rsidR="00BC3648" w:rsidRPr="00BC3648">
              <w:t>pants neliedz tādu valsts tiesisko regulējumu kā pamatlietā, kas uzliek pienākumu līgumslēdzējām iestādēm uzskatīt par izslēgšanas pamatu pārkāpumu sociālā nodrošinājuma iemaksu jomā, kāds ir konstatēts sertifikātā, ko pēc savas ierosmes ir pieprasījusi līgumslēdzēja iestāde un ko ir izsniegušas sociālā nodrošinājuma struktūras, ja šāds pārkāpums ir pastāvējis dalības konkursā brīdī, tādējādi izslēdzot līgumslēdzējām iestādēm šajā ziņā jebkādu rīcības brīvību.</w:t>
            </w:r>
            <w:r w:rsidR="00BC3648">
              <w:rPr>
                <w:rStyle w:val="FootnoteReference"/>
              </w:rPr>
              <w:footnoteReference w:id="51"/>
            </w:r>
          </w:p>
        </w:tc>
      </w:tr>
    </w:tbl>
    <w:p w14:paraId="3A8C48C5" w14:textId="77777777" w:rsidR="00BC3648" w:rsidRDefault="00BC3648" w:rsidP="00270EB6">
      <w:pPr>
        <w:spacing w:after="0"/>
        <w:ind w:firstLine="540"/>
        <w:jc w:val="both"/>
        <w:rPr>
          <w:rFonts w:ascii="TimesNewRomanPSMT" w:eastAsiaTheme="minorHAnsi" w:hAnsi="TimesNewRomanPSMT" w:cs="TimesNewRomanPSMT"/>
        </w:rPr>
      </w:pPr>
    </w:p>
    <w:p w14:paraId="2C16DC07" w14:textId="5175735A" w:rsidR="00617CEF" w:rsidRPr="00A76912" w:rsidRDefault="00A76912"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Direktīvas 2004/18 45.panta 2.</w:t>
      </w:r>
      <w:r w:rsidRPr="00A76912">
        <w:rPr>
          <w:rFonts w:ascii="TimesNewRomanPSMT" w:eastAsiaTheme="minorHAnsi" w:hAnsi="TimesNewRomanPSMT" w:cs="TimesNewRomanPSMT"/>
        </w:rPr>
        <w:t>punkts ļauj dalībvalstīm noteikt, kādā termiņā ieinteresētajām personām ir jāizpilda pienākumi attiecībā uz sociālā nodrošinājuma iemaksu veikšanu un kad tās var veikt iespējamās korekcijas ar atpakaļejošu datumu, ar nosacījumu, ka šis termiņš atbilst pārskatāmības un vienlīdzīgas attieksmes princip</w:t>
      </w:r>
      <w:r w:rsidR="002D5E0B">
        <w:rPr>
          <w:rFonts w:ascii="TimesNewRomanPSMT" w:eastAsiaTheme="minorHAnsi" w:hAnsi="TimesNewRomanPSMT" w:cs="TimesNewRomanPSMT"/>
        </w:rPr>
        <w:t>a</w:t>
      </w:r>
      <w:r w:rsidRPr="00A76912">
        <w:rPr>
          <w:rFonts w:ascii="TimesNewRomanPSMT" w:eastAsiaTheme="minorHAnsi" w:hAnsi="TimesNewRomanPSMT" w:cs="TimesNewRomanPSMT"/>
        </w:rPr>
        <w:t>m</w:t>
      </w:r>
      <w:r>
        <w:rPr>
          <w:rFonts w:ascii="TimesNewRomanPSMT" w:eastAsiaTheme="minorHAnsi" w:hAnsi="TimesNewRomanPSMT" w:cs="TimesNewRomanPSMT"/>
        </w:rPr>
        <w:t>.</w:t>
      </w:r>
      <w:r>
        <w:rPr>
          <w:rStyle w:val="FootnoteReference"/>
          <w:rFonts w:ascii="TimesNewRomanPSMT" w:eastAsiaTheme="minorHAnsi" w:hAnsi="TimesNewRomanPSMT" w:cs="TimesNewRomanPSMT"/>
        </w:rPr>
        <w:footnoteReference w:id="52"/>
      </w:r>
      <w:r w:rsidR="00B8727B">
        <w:rPr>
          <w:rFonts w:ascii="TimesNewRomanPSMT" w:eastAsiaTheme="minorHAnsi" w:hAnsi="TimesNewRomanPSMT" w:cs="TimesNewRomanPSMT"/>
        </w:rPr>
        <w:t xml:space="preserve"> </w:t>
      </w:r>
      <w:r w:rsidRPr="00A76912">
        <w:rPr>
          <w:rFonts w:ascii="TimesNewRomanPSMT" w:eastAsiaTheme="minorHAnsi" w:hAnsi="TimesNewRomanPSMT" w:cs="TimesNewRomanPSMT"/>
        </w:rPr>
        <w:t xml:space="preserve"> </w:t>
      </w:r>
    </w:p>
    <w:p w14:paraId="66193465" w14:textId="77777777" w:rsidR="009B385F" w:rsidRDefault="009B385F" w:rsidP="00823229">
      <w:pPr>
        <w:spacing w:after="0"/>
        <w:ind w:firstLine="540"/>
        <w:jc w:val="center"/>
        <w:rPr>
          <w:rFonts w:ascii="TimesNewRomanPSMT" w:eastAsiaTheme="minorHAnsi" w:hAnsi="TimesNewRomanPSMT" w:cs="TimesNewRomanPSMT"/>
          <w:b/>
        </w:rPr>
      </w:pPr>
    </w:p>
    <w:p w14:paraId="4901192B" w14:textId="77777777" w:rsidR="00D60090" w:rsidRDefault="00D60090" w:rsidP="00823229">
      <w:pPr>
        <w:spacing w:after="0"/>
        <w:ind w:firstLine="540"/>
        <w:jc w:val="center"/>
        <w:rPr>
          <w:rFonts w:ascii="TimesNewRomanPSMT" w:eastAsiaTheme="minorHAnsi" w:hAnsi="TimesNewRomanPSMT" w:cs="TimesNewRomanPSMT"/>
          <w:b/>
        </w:rPr>
      </w:pPr>
    </w:p>
    <w:p w14:paraId="37FEF31C" w14:textId="4F8AD880" w:rsidR="00EE6004" w:rsidRDefault="00EE6004" w:rsidP="00270EB6">
      <w:pPr>
        <w:spacing w:after="0"/>
        <w:ind w:firstLine="540"/>
        <w:jc w:val="both"/>
        <w:rPr>
          <w:rFonts w:ascii="TimesNewRomanPSMT" w:eastAsiaTheme="minorHAnsi" w:hAnsi="TimesNewRomanPSMT" w:cs="TimesNewRomanPSMT"/>
          <w:b/>
        </w:rPr>
      </w:pPr>
      <w:r w:rsidRPr="00EE6004">
        <w:rPr>
          <w:rFonts w:ascii="TimesNewRomanPSMT" w:eastAsiaTheme="minorHAnsi" w:hAnsi="TimesNewRomanPSMT" w:cs="TimesNewRomanPSMT"/>
          <w:b/>
        </w:rPr>
        <w:t>Tehnisko un/vai profesionālo iespēju pierādīšana</w:t>
      </w:r>
      <w:r w:rsidR="00DB1FE3">
        <w:rPr>
          <w:rFonts w:ascii="TimesNewRomanPSMT" w:eastAsiaTheme="minorHAnsi" w:hAnsi="TimesNewRomanPSMT" w:cs="TimesNewRomanPSMT"/>
          <w:b/>
        </w:rPr>
        <w:t>s līdzekļi</w:t>
      </w:r>
    </w:p>
    <w:p w14:paraId="2B0A3402" w14:textId="7407FBFF" w:rsidR="00EE6004" w:rsidRPr="00EE6004" w:rsidRDefault="00DB1FE3" w:rsidP="00823229">
      <w:pPr>
        <w:tabs>
          <w:tab w:val="left" w:pos="6195"/>
        </w:tabs>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 xml:space="preserve"> </w:t>
      </w:r>
      <w:r w:rsidR="00823229">
        <w:rPr>
          <w:rFonts w:ascii="TimesNewRomanPSMT" w:eastAsiaTheme="minorHAnsi" w:hAnsi="TimesNewRomanPSMT" w:cs="TimesNewRomanPSMT"/>
          <w:b/>
        </w:rPr>
        <w:tab/>
      </w:r>
    </w:p>
    <w:p w14:paraId="1F1B6DE2" w14:textId="417A059F" w:rsidR="000557C6" w:rsidRPr="001C3187" w:rsidRDefault="00EE6004" w:rsidP="00270EB6">
      <w:pPr>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1) </w:t>
      </w:r>
      <w:r w:rsidR="00E3383D">
        <w:rPr>
          <w:rFonts w:ascii="TimesNewRomanPSMT" w:eastAsiaTheme="minorHAnsi" w:hAnsi="TimesNewRomanPSMT" w:cs="TimesNewRomanPSMT"/>
          <w:b/>
        </w:rPr>
        <w:t>Tehnisko iespēju pierādīšana</w:t>
      </w:r>
      <w:r w:rsidR="004E53D8" w:rsidRPr="001C3187">
        <w:rPr>
          <w:rFonts w:ascii="TimesNewRomanPSMT" w:eastAsiaTheme="minorHAnsi" w:hAnsi="TimesNewRomanPSMT" w:cs="TimesNewRomanPSMT"/>
          <w:b/>
        </w:rPr>
        <w:t xml:space="preserve">, izmantojot vienpusēju deklarāciju tikai tad, ja </w:t>
      </w:r>
      <w:r w:rsidR="00E3383D">
        <w:rPr>
          <w:rFonts w:ascii="TimesNewRomanPSMT" w:eastAsiaTheme="minorHAnsi" w:hAnsi="TimesNewRomanPSMT" w:cs="TimesNewRomanPSMT"/>
          <w:b/>
        </w:rPr>
        <w:t xml:space="preserve">nav </w:t>
      </w:r>
      <w:r w:rsidR="004E53D8" w:rsidRPr="001C3187">
        <w:rPr>
          <w:rFonts w:ascii="TimesNewRomanPSMT" w:eastAsiaTheme="minorHAnsi" w:hAnsi="TimesNewRomanPSMT" w:cs="TimesNewRomanPSMT"/>
          <w:b/>
        </w:rPr>
        <w:t>iespējams iegūt apliecinājumu no privāta pircēja</w:t>
      </w:r>
    </w:p>
    <w:p w14:paraId="44D65CBF" w14:textId="679CF4BD" w:rsidR="00305B64" w:rsidRDefault="00305B64" w:rsidP="001707FD">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L</w:t>
      </w:r>
      <w:r w:rsidRPr="00305B64">
        <w:rPr>
          <w:rFonts w:ascii="TimesNewRomanPSMT" w:eastAsiaTheme="minorHAnsi" w:hAnsi="TimesNewRomanPSMT" w:cs="TimesNewRomanPSMT"/>
        </w:rPr>
        <w:t>īgumslēdzēju iestāžu izstrādātie noteikumi par divu Direk</w:t>
      </w:r>
      <w:r>
        <w:rPr>
          <w:rFonts w:ascii="TimesNewRomanPSMT" w:eastAsiaTheme="minorHAnsi" w:hAnsi="TimesNewRomanPSMT" w:cs="TimesNewRomanPSMT"/>
        </w:rPr>
        <w:t>tīvas 2004/18 48.panta 2.</w:t>
      </w:r>
      <w:r w:rsidRPr="00305B64">
        <w:rPr>
          <w:rFonts w:ascii="TimesNewRomanPSMT" w:eastAsiaTheme="minorHAnsi" w:hAnsi="TimesNewRomanPSMT" w:cs="TimesNewRomanPSMT"/>
        </w:rPr>
        <w:t xml:space="preserve">punkta </w:t>
      </w:r>
      <w:r>
        <w:rPr>
          <w:rFonts w:ascii="TimesNewRomanPSMT" w:eastAsiaTheme="minorHAnsi" w:hAnsi="TimesNewRomanPSMT" w:cs="TimesNewRomanPSMT"/>
        </w:rPr>
        <w:t>„a”</w:t>
      </w:r>
      <w:r w:rsidR="00ED4FA2">
        <w:rPr>
          <w:rFonts w:ascii="TimesNewRomanPSMT" w:eastAsiaTheme="minorHAnsi" w:hAnsi="TimesNewRomanPSMT" w:cs="TimesNewRomanPSMT"/>
        </w:rPr>
        <w:t xml:space="preserve"> </w:t>
      </w:r>
      <w:r w:rsidRPr="00305B64">
        <w:rPr>
          <w:rFonts w:ascii="TimesNewRomanPSMT" w:eastAsiaTheme="minorHAnsi" w:hAnsi="TimesNewRomanPSMT" w:cs="TimesNewRomanPSMT"/>
        </w:rPr>
        <w:t xml:space="preserve">apakšpunkta </w:t>
      </w:r>
      <w:r>
        <w:rPr>
          <w:rFonts w:ascii="TimesNewRomanPSMT" w:eastAsiaTheme="minorHAnsi" w:hAnsi="TimesNewRomanPSMT" w:cs="TimesNewRomanPSMT"/>
        </w:rPr>
        <w:t>„</w:t>
      </w:r>
      <w:r w:rsidRPr="00305B64">
        <w:rPr>
          <w:rFonts w:ascii="TimesNewRomanPSMT" w:eastAsiaTheme="minorHAnsi" w:hAnsi="TimesNewRomanPSMT" w:cs="TimesNewRomanPSMT"/>
        </w:rPr>
        <w:t>ii</w:t>
      </w:r>
      <w:r>
        <w:rPr>
          <w:rFonts w:ascii="TimesNewRomanPSMT" w:eastAsiaTheme="minorHAnsi" w:hAnsi="TimesNewRomanPSMT" w:cs="TimesNewRomanPSMT"/>
        </w:rPr>
        <w:t>”</w:t>
      </w:r>
      <w:r w:rsidRPr="00305B64">
        <w:rPr>
          <w:rFonts w:ascii="TimesNewRomanPSMT" w:eastAsiaTheme="minorHAnsi" w:hAnsi="TimesNewRomanPSMT" w:cs="TimesNewRomanPSMT"/>
        </w:rPr>
        <w:t xml:space="preserve"> punkta otrajā ievilkumā paredzēto pierādīšanas līdzekļu </w:t>
      </w:r>
      <w:r w:rsidR="00ED4FA2">
        <w:rPr>
          <w:rFonts w:ascii="TimesNewRomanPSMT" w:eastAsiaTheme="minorHAnsi" w:hAnsi="TimesNewRomanPSMT" w:cs="TimesNewRomanPSMT"/>
        </w:rPr>
        <w:t xml:space="preserve">– </w:t>
      </w:r>
      <w:r w:rsidR="007C6828">
        <w:rPr>
          <w:rFonts w:ascii="TimesNewRomanPSMT" w:eastAsiaTheme="minorHAnsi" w:hAnsi="TimesNewRomanPSMT" w:cs="TimesNewRomanPSMT"/>
        </w:rPr>
        <w:t xml:space="preserve">pircēja apliecinājums vai </w:t>
      </w:r>
      <w:r w:rsidR="001707FD">
        <w:rPr>
          <w:rFonts w:ascii="TimesNewRomanPSMT" w:eastAsiaTheme="minorHAnsi" w:hAnsi="TimesNewRomanPSMT" w:cs="TimesNewRomanPSMT"/>
        </w:rPr>
        <w:t xml:space="preserve">komersanta sniegta deklarācija – </w:t>
      </w:r>
      <w:r w:rsidRPr="00305B64">
        <w:rPr>
          <w:rFonts w:ascii="TimesNewRomanPSMT" w:eastAsiaTheme="minorHAnsi" w:hAnsi="TimesNewRomanPSMT" w:cs="TimesNewRomanPSMT"/>
        </w:rPr>
        <w:t>īstenošanu nedrīkst pārsniegt to, kas ir vajadzīgs, lai sasniegtu šajā direktīvā noteiktos mērķus</w:t>
      </w:r>
      <w:r w:rsidR="00DC6573">
        <w:rPr>
          <w:rFonts w:ascii="TimesNewRomanPSMT" w:eastAsiaTheme="minorHAnsi" w:hAnsi="TimesNewRomanPSMT" w:cs="TimesNewRomanPSMT"/>
        </w:rPr>
        <w:t xml:space="preserve">. </w:t>
      </w:r>
    </w:p>
    <w:p w14:paraId="1B63FD67" w14:textId="1C219789" w:rsidR="004E53D8" w:rsidRDefault="008907A4"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P</w:t>
      </w:r>
      <w:r w:rsidR="001C3187" w:rsidRPr="001C3187">
        <w:rPr>
          <w:rFonts w:ascii="TimesNewRomanPSMT" w:eastAsiaTheme="minorHAnsi" w:hAnsi="TimesNewRomanPSMT" w:cs="TimesNewRomanPSMT"/>
        </w:rPr>
        <w:t xml:space="preserve">aziņojumā par līgumu iekļautie noteikumi, kas saimnieciskās darbības subjektam, lai pierādītu savas tehniskās iespējas, ļauj iesniegt vienpusēju deklarāciju tikai tad, ja tas pierāda, ka nekādi nav iespējams iegūt privāta pircēja apliecinājumu, ir nesamērīgi. Turpretī noteikumi paziņojumā par līgumu, atbilstoši kuriem saimnieciskās darbības subjekts var pamatoti atsaukties uz šādu vienpusēju deklarāciju arī tad, ja tas pierāda ar objektīviem pierādījumiem, kas ir jāpārbauda katrā atsevišķajā gadījumā, ka pastāv nopietnas grūtības, kas tam traucē iegūt šādu apliecinājumu, piemēram, attiecīgā privātā pircēja nevēlēšanās to sniegt, atbilst </w:t>
      </w:r>
      <w:r w:rsidR="001C3187" w:rsidRPr="001C3187">
        <w:rPr>
          <w:rFonts w:ascii="TimesNewRomanPSMT" w:eastAsiaTheme="minorHAnsi" w:hAnsi="TimesNewRomanPSMT" w:cs="TimesNewRomanPSMT"/>
        </w:rPr>
        <w:lastRenderedPageBreak/>
        <w:t>samērīguma principam, ciktāl šie noteikumi neuzliek attiecīgajam komersantam nesamērīgu slogu salīdzinājumā ar centieniem sasniegt šos pašus mērķus.</w:t>
      </w:r>
      <w:r w:rsidR="00A369A0">
        <w:rPr>
          <w:rStyle w:val="FootnoteReference"/>
          <w:rFonts w:ascii="TimesNewRomanPSMT" w:eastAsiaTheme="minorHAnsi" w:hAnsi="TimesNewRomanPSMT" w:cs="TimesNewRomanPSMT"/>
        </w:rPr>
        <w:footnoteReference w:id="53"/>
      </w:r>
    </w:p>
    <w:p w14:paraId="08DB8054" w14:textId="77777777" w:rsidR="006A7CBD" w:rsidRDefault="006A7CBD" w:rsidP="00270EB6">
      <w:pPr>
        <w:spacing w:after="0"/>
        <w:ind w:firstLine="540"/>
        <w:jc w:val="both"/>
        <w:rPr>
          <w:rFonts w:ascii="TimesNewRomanPSMT" w:eastAsiaTheme="minorHAnsi" w:hAnsi="TimesNewRomanPSMT" w:cs="TimesNewRomanPSMT"/>
        </w:rPr>
      </w:pPr>
    </w:p>
    <w:p w14:paraId="4A2F5482" w14:textId="77777777" w:rsidR="00D60090" w:rsidRDefault="00D60090" w:rsidP="00270EB6">
      <w:pPr>
        <w:spacing w:after="0"/>
        <w:ind w:firstLine="540"/>
        <w:jc w:val="both"/>
        <w:rPr>
          <w:rFonts w:ascii="TimesNewRomanPSMT" w:eastAsiaTheme="minorHAnsi" w:hAnsi="TimesNewRomanPSMT" w:cs="TimesNewRomanPSMT"/>
        </w:rPr>
      </w:pPr>
    </w:p>
    <w:p w14:paraId="14C9E522" w14:textId="77777777" w:rsidR="00D60090" w:rsidRDefault="00D60090" w:rsidP="00270EB6">
      <w:pPr>
        <w:spacing w:after="0"/>
        <w:ind w:firstLine="540"/>
        <w:jc w:val="both"/>
        <w:rPr>
          <w:rFonts w:ascii="TimesNewRomanPSMT" w:eastAsiaTheme="minorHAnsi" w:hAnsi="TimesNewRomanPSMT" w:cs="TimesNewRomanPSMT"/>
        </w:rPr>
      </w:pPr>
    </w:p>
    <w:p w14:paraId="501FB12D" w14:textId="283021FC" w:rsidR="00E46FFB" w:rsidRDefault="00DE6D08" w:rsidP="00270EB6">
      <w:pPr>
        <w:spacing w:after="0"/>
        <w:ind w:firstLine="540"/>
        <w:jc w:val="both"/>
        <w:rPr>
          <w:rFonts w:ascii="TimesNewRomanPSMT" w:eastAsiaTheme="minorHAnsi" w:hAnsi="TimesNewRomanPSMT" w:cs="TimesNewRomanPSMT"/>
          <w:b/>
        </w:rPr>
      </w:pPr>
      <w:r>
        <w:rPr>
          <w:rFonts w:ascii="TimesNewRomanPSMT" w:eastAsiaTheme="minorHAnsi" w:hAnsi="TimesNewRomanPSMT" w:cs="TimesNewRomanPSMT"/>
          <w:b/>
        </w:rPr>
        <w:t>2) </w:t>
      </w:r>
      <w:r w:rsidR="0057182C" w:rsidRPr="00831960">
        <w:rPr>
          <w:rFonts w:ascii="TimesNewRomanPSMT" w:eastAsiaTheme="minorHAnsi" w:hAnsi="TimesNewRomanPSMT" w:cs="TimesNewRomanPSMT"/>
          <w:b/>
        </w:rPr>
        <w:t xml:space="preserve">Pienākums apliecināt paraksta īstumu vienpusējā deklarācijā par </w:t>
      </w:r>
      <w:r w:rsidR="00831960" w:rsidRPr="00831960">
        <w:rPr>
          <w:rFonts w:ascii="TimesNewRomanPSMT" w:eastAsiaTheme="minorHAnsi" w:hAnsi="TimesNewRomanPSMT" w:cs="TimesNewRomanPSMT"/>
          <w:b/>
        </w:rPr>
        <w:t>tehniskajām iespējām</w:t>
      </w:r>
    </w:p>
    <w:p w14:paraId="57A21F9C" w14:textId="78D35766" w:rsidR="00153D4C" w:rsidRPr="00153D4C" w:rsidRDefault="002D1D5F" w:rsidP="00270EB6">
      <w:pPr>
        <w:spacing w:after="0"/>
        <w:ind w:firstLine="540"/>
        <w:jc w:val="both"/>
        <w:rPr>
          <w:rFonts w:ascii="TimesNewRomanPSMT" w:eastAsiaTheme="minorHAnsi" w:hAnsi="TimesNewRomanPSMT" w:cs="TimesNewRomanPSMT"/>
        </w:rPr>
      </w:pPr>
      <w:r>
        <w:rPr>
          <w:rFonts w:ascii="TimesNewRomanPSMT" w:eastAsiaTheme="minorHAnsi" w:hAnsi="TimesNewRomanPSMT" w:cs="TimesNewRomanPSMT"/>
        </w:rPr>
        <w:t xml:space="preserve">Parakstam vienpusējā deklarācijā par tehniskajām iespējām nav </w:t>
      </w:r>
      <w:r w:rsidR="00153D4C" w:rsidRPr="00153D4C">
        <w:rPr>
          <w:rFonts w:ascii="TimesNewRomanPSMT" w:eastAsiaTheme="minorHAnsi" w:hAnsi="TimesNewRomanPSMT" w:cs="TimesNewRomanPSMT"/>
        </w:rPr>
        <w:t>jābūt notariāli, advokāta vai citas kompetentas iestādes apliecinātam</w:t>
      </w:r>
      <w:r w:rsidR="0059370E">
        <w:rPr>
          <w:rFonts w:ascii="TimesNewRomanPSMT" w:eastAsiaTheme="minorHAnsi" w:hAnsi="TimesNewRomanPSMT" w:cs="TimesNewRomanPSMT"/>
        </w:rPr>
        <w:t>. A</w:t>
      </w:r>
      <w:r w:rsidR="00AC1DE3">
        <w:rPr>
          <w:rFonts w:ascii="TimesNewRomanPSMT" w:eastAsiaTheme="minorHAnsi" w:hAnsi="TimesNewRomanPSMT" w:cs="TimesNewRomanPSMT"/>
        </w:rPr>
        <w:t>r Direktīvas 2004/18 48.panta 2.</w:t>
      </w:r>
      <w:r w:rsidR="00153D4C" w:rsidRPr="00153D4C">
        <w:rPr>
          <w:rFonts w:ascii="TimesNewRomanPSMT" w:eastAsiaTheme="minorHAnsi" w:hAnsi="TimesNewRomanPSMT" w:cs="TimesNewRomanPSMT"/>
        </w:rPr>
        <w:t xml:space="preserve">punkta </w:t>
      </w:r>
      <w:r w:rsidR="00AC1DE3">
        <w:rPr>
          <w:rFonts w:ascii="TimesNewRomanPSMT" w:eastAsiaTheme="minorHAnsi" w:hAnsi="TimesNewRomanPSMT" w:cs="TimesNewRomanPSMT"/>
        </w:rPr>
        <w:t>„</w:t>
      </w:r>
      <w:r w:rsidR="00153D4C" w:rsidRPr="00153D4C">
        <w:rPr>
          <w:rFonts w:ascii="TimesNewRomanPSMT" w:eastAsiaTheme="minorHAnsi" w:hAnsi="TimesNewRomanPSMT" w:cs="TimesNewRomanPSMT"/>
        </w:rPr>
        <w:t>a</w:t>
      </w:r>
      <w:r w:rsidR="00AC1DE3">
        <w:rPr>
          <w:rFonts w:ascii="TimesNewRomanPSMT" w:eastAsiaTheme="minorHAnsi" w:hAnsi="TimesNewRomanPSMT" w:cs="TimesNewRomanPSMT"/>
        </w:rPr>
        <w:t>” </w:t>
      </w:r>
      <w:r w:rsidR="00153D4C" w:rsidRPr="00153D4C">
        <w:rPr>
          <w:rFonts w:ascii="TimesNewRomanPSMT" w:eastAsiaTheme="minorHAnsi" w:hAnsi="TimesNewRomanPSMT" w:cs="TimesNewRomanPSMT"/>
        </w:rPr>
        <w:t xml:space="preserve">apakšpunkta </w:t>
      </w:r>
      <w:r w:rsidR="00AC1DE3">
        <w:rPr>
          <w:rFonts w:ascii="TimesNewRomanPSMT" w:eastAsiaTheme="minorHAnsi" w:hAnsi="TimesNewRomanPSMT" w:cs="TimesNewRomanPSMT"/>
        </w:rPr>
        <w:t>„</w:t>
      </w:r>
      <w:r w:rsidR="00153D4C" w:rsidRPr="00153D4C">
        <w:rPr>
          <w:rFonts w:ascii="TimesNewRomanPSMT" w:eastAsiaTheme="minorHAnsi" w:hAnsi="TimesNewRomanPSMT" w:cs="TimesNewRomanPSMT"/>
        </w:rPr>
        <w:t>ii</w:t>
      </w:r>
      <w:r w:rsidR="00AC1DE3">
        <w:rPr>
          <w:rFonts w:ascii="TimesNewRomanPSMT" w:eastAsiaTheme="minorHAnsi" w:hAnsi="TimesNewRomanPSMT" w:cs="TimesNewRomanPSMT"/>
        </w:rPr>
        <w:t>”</w:t>
      </w:r>
      <w:r w:rsidR="00153D4C" w:rsidRPr="00153D4C">
        <w:rPr>
          <w:rFonts w:ascii="TimesNewRomanPSMT" w:eastAsiaTheme="minorHAnsi" w:hAnsi="TimesNewRomanPSMT" w:cs="TimesNewRomanPSMT"/>
        </w:rPr>
        <w:t xml:space="preserve"> punkta otro ievilkumu tiek izveidota slēgta sistēma, kas ierobežo līgumslēdzēju iestāžu iespēju paredzēt jaunus pierādīšanas līdzekļus vai formulēt papildu prasības, būtiski grozot jau paredzēto līdzekļu izmantošanas būtību un nosacījumus.</w:t>
      </w:r>
      <w:r w:rsidR="00E93630">
        <w:rPr>
          <w:rStyle w:val="FootnoteReference"/>
          <w:rFonts w:ascii="TimesNewRomanPSMT" w:eastAsiaTheme="minorHAnsi" w:hAnsi="TimesNewRomanPSMT" w:cs="TimesNewRomanPSMT"/>
        </w:rPr>
        <w:footnoteReference w:id="54"/>
      </w:r>
      <w:r w:rsidR="00153D4C" w:rsidRPr="00153D4C">
        <w:rPr>
          <w:rFonts w:ascii="TimesNewRomanPSMT" w:eastAsiaTheme="minorHAnsi" w:hAnsi="TimesNewRomanPSMT" w:cs="TimesNewRomanPSMT"/>
        </w:rPr>
        <w:t xml:space="preserve"> </w:t>
      </w:r>
      <w:r w:rsidR="00AC1DE3">
        <w:rPr>
          <w:rFonts w:ascii="TimesNewRomanPSMT" w:eastAsiaTheme="minorHAnsi" w:hAnsi="TimesNewRomanPSMT" w:cs="TimesNewRomanPSMT"/>
        </w:rPr>
        <w:t>P</w:t>
      </w:r>
      <w:r w:rsidR="00153D4C" w:rsidRPr="00153D4C">
        <w:rPr>
          <w:rFonts w:ascii="TimesNewRomanPSMT" w:eastAsiaTheme="minorHAnsi" w:hAnsi="TimesNewRomanPSMT" w:cs="TimesNewRomanPSMT"/>
        </w:rPr>
        <w:t>ieprasot, lai uz privāta pircēja apliecinājuma būtu apliecināts paraksts, tiek ieviesta formalitāte, kas ir šāds būtisks grozījums pirmajā no abiem minētajā tiesību normā paredzētajiem pierādīšanas līdzekļiem, kas apgrūtina darbības, kuras saimnieciskās darbības subjektam ir jāveic, lai izpild</w:t>
      </w:r>
      <w:r w:rsidR="00165BF3">
        <w:rPr>
          <w:rFonts w:ascii="TimesNewRomanPSMT" w:eastAsiaTheme="minorHAnsi" w:hAnsi="TimesNewRomanPSMT" w:cs="TimesNewRomanPSMT"/>
        </w:rPr>
        <w:t xml:space="preserve">ītu savas pierādīšanas prasības. Tas savukārt </w:t>
      </w:r>
      <w:r w:rsidR="00153D4C" w:rsidRPr="00153D4C">
        <w:rPr>
          <w:rFonts w:ascii="TimesNewRomanPSMT" w:eastAsiaTheme="minorHAnsi" w:hAnsi="TimesNewRomanPSMT" w:cs="TimesNewRomanPSMT"/>
        </w:rPr>
        <w:t>ir pretru</w:t>
      </w:r>
      <w:r w:rsidR="00165BF3">
        <w:rPr>
          <w:rFonts w:ascii="TimesNewRomanPSMT" w:eastAsiaTheme="minorHAnsi" w:hAnsi="TimesNewRomanPSMT" w:cs="TimesNewRomanPSMT"/>
        </w:rPr>
        <w:t>nā šā panta vispārējai sistēmai</w:t>
      </w:r>
      <w:r w:rsidR="00153D4C" w:rsidRPr="00153D4C">
        <w:rPr>
          <w:rFonts w:ascii="TimesNewRomanPSMT" w:eastAsiaTheme="minorHAnsi" w:hAnsi="TimesNewRomanPSMT" w:cs="TimesNewRomanPSMT"/>
        </w:rPr>
        <w:t>.</w:t>
      </w:r>
      <w:r w:rsidR="00DE5998">
        <w:rPr>
          <w:rStyle w:val="FootnoteReference"/>
          <w:rFonts w:ascii="TimesNewRomanPSMT" w:eastAsiaTheme="minorHAnsi" w:hAnsi="TimesNewRomanPSMT" w:cs="TimesNewRomanPSMT"/>
        </w:rPr>
        <w:footnoteReference w:id="55"/>
      </w:r>
    </w:p>
    <w:p w14:paraId="41A180BC" w14:textId="77777777" w:rsidR="00831960" w:rsidRDefault="00831960" w:rsidP="00270EB6">
      <w:pPr>
        <w:spacing w:after="0"/>
        <w:ind w:firstLine="540"/>
        <w:jc w:val="both"/>
        <w:rPr>
          <w:rFonts w:ascii="TimesNewRomanPSMT" w:eastAsiaTheme="minorHAnsi" w:hAnsi="TimesNewRomanPSMT" w:cs="TimesNewRomanPSMT"/>
        </w:rPr>
      </w:pPr>
    </w:p>
    <w:p w14:paraId="6122EDF1" w14:textId="77777777" w:rsidR="004262A5" w:rsidRDefault="004262A5" w:rsidP="00270EB6">
      <w:pPr>
        <w:spacing w:after="0"/>
        <w:ind w:firstLine="540"/>
        <w:jc w:val="both"/>
        <w:rPr>
          <w:rFonts w:ascii="TimesNewRomanPSMT" w:eastAsiaTheme="minorHAnsi" w:hAnsi="TimesNewRomanPSMT" w:cs="TimesNewRomanPSMT"/>
        </w:rPr>
      </w:pPr>
    </w:p>
    <w:p w14:paraId="4F934E20" w14:textId="77777777" w:rsidR="004262A5" w:rsidRPr="005102C9" w:rsidRDefault="004262A5" w:rsidP="004262A5">
      <w:pPr>
        <w:spacing w:after="0"/>
        <w:ind w:firstLine="567"/>
        <w:jc w:val="both"/>
        <w:rPr>
          <w:b/>
        </w:rPr>
      </w:pPr>
      <w:r w:rsidRPr="005102C9">
        <w:rPr>
          <w:b/>
        </w:rPr>
        <w:t>Pretendenta izslēgšana no iepirkuma sakarā ar neskaidru nosacījumu neizpildi un iespēja novērst trūkumu</w:t>
      </w:r>
      <w:r>
        <w:rPr>
          <w:b/>
        </w:rPr>
        <w:t>s</w:t>
      </w:r>
    </w:p>
    <w:p w14:paraId="61290760" w14:textId="77777777" w:rsidR="004262A5" w:rsidRDefault="004262A5" w:rsidP="004262A5">
      <w:pPr>
        <w:spacing w:after="0"/>
        <w:ind w:firstLine="567"/>
        <w:jc w:val="both"/>
      </w:pPr>
      <w:r>
        <w:t>J</w:t>
      </w:r>
      <w:r w:rsidRPr="002E7042">
        <w:t>a dalības iepirkuma procedūrā nosacījums, kuru neizpildot pretendents tiek izslēgts no iepirkuma, nav skaidri paredzēts iepirkuma dokumentos un šo nosacījumu var konstatēt, tikai tiesai veicot valsts tiesību interpretāciju, līgumslēdzēja iestāde izslēgtajam pretendentam var noteikt termiņu, kas ir pietiekams šī trūkuma novēršanai.</w:t>
      </w:r>
      <w:r>
        <w:t xml:space="preserve"> Proti, saimnieciskās darbības subjekts nevar tikt izslēgts no </w:t>
      </w:r>
      <w:r w:rsidRPr="002E7042">
        <w:t>publiskā iepirkuma procedūras</w:t>
      </w:r>
      <w:r>
        <w:t xml:space="preserve"> tādēļ</w:t>
      </w:r>
      <w:r w:rsidRPr="002E7042">
        <w:t xml:space="preserve">, </w:t>
      </w:r>
      <w:r>
        <w:t>ka</w:t>
      </w:r>
      <w:r w:rsidRPr="002E7042">
        <w:t xml:space="preserve"> viņš neievēro pienākumu, kas izriet nevis tieši no dokumentiem, kas saistīti ar šo procedūru, vai spēkā esošajiem valsts tiesību aktiem, bet gan no šī likuma un šo dokumentu interpretācijas, kā arī mehānisma valsts administratīvo iestāžu vai tiesu pieļauto trūkumu minētajos dokumentos novēršanai. Šādos apstākļos vienlīdzīgas attieksmes un samērīguma principi ir jāinterpretē tādējādi, ka tie pieļauj, ka saimnieciskās darbības subjektam tiek piešķirta iespēja labot situāciju un izpildīt minēto pienākumu līgumslēdzējas iestādes noteiktajā termiņā.</w:t>
      </w:r>
      <w:r>
        <w:rPr>
          <w:rStyle w:val="FootnoteReference"/>
        </w:rPr>
        <w:footnoteReference w:id="56"/>
      </w:r>
    </w:p>
    <w:p w14:paraId="7E0CE156" w14:textId="77777777" w:rsidR="004262A5" w:rsidRDefault="004262A5" w:rsidP="004262A5">
      <w:pPr>
        <w:spacing w:after="0"/>
        <w:ind w:firstLine="567"/>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4262A5" w:rsidRPr="00381475" w14:paraId="23E9ED2B" w14:textId="77777777" w:rsidTr="00771A82">
        <w:tc>
          <w:tcPr>
            <w:tcW w:w="7932" w:type="dxa"/>
            <w:shd w:val="clear" w:color="auto" w:fill="F2F2F2" w:themeFill="background1" w:themeFillShade="F2"/>
          </w:tcPr>
          <w:p w14:paraId="4F2D9CEC" w14:textId="77777777" w:rsidR="004262A5" w:rsidRPr="00381475" w:rsidRDefault="004262A5" w:rsidP="00771A82">
            <w:pPr>
              <w:ind w:firstLine="720"/>
              <w:jc w:val="both"/>
            </w:pPr>
            <w:r w:rsidRPr="00381475">
              <w:t xml:space="preserve">Lietā </w:t>
            </w:r>
            <w:r>
              <w:t>„</w:t>
            </w:r>
            <w:r w:rsidRPr="0083059E">
              <w:t>Pippo Pizzo</w:t>
            </w:r>
            <w:r>
              <w:t xml:space="preserve">” trīs no četriem </w:t>
            </w:r>
            <w:r w:rsidRPr="002E2AD9">
              <w:t>pretendenti</w:t>
            </w:r>
            <w:r>
              <w:t xml:space="preserve">em tika izslēgti no iepirkuma </w:t>
            </w:r>
            <w:r w:rsidRPr="002E2AD9">
              <w:t xml:space="preserve">procedūras, jo </w:t>
            </w:r>
            <w:r>
              <w:t>viņi nebija iemaksājuši publisko iepirkumu</w:t>
            </w:r>
            <w:r w:rsidRPr="002E2AD9">
              <w:t xml:space="preserve"> uzraudzības iestāde</w:t>
            </w:r>
            <w:r>
              <w:t>i l</w:t>
            </w:r>
            <w:r w:rsidRPr="002E2AD9">
              <w:t>ikumā paredzēto maksājumu</w:t>
            </w:r>
            <w:r>
              <w:t>. Tomēr šī maksājuma attiecināmība uz konkrēto iepirkumu bija apšaubāma. Proti, l</w:t>
            </w:r>
            <w:r w:rsidRPr="008266EE">
              <w:t xml:space="preserve">ikumā paredzētā </w:t>
            </w:r>
            <w:r w:rsidRPr="008266EE">
              <w:lastRenderedPageBreak/>
              <w:t>maksājuma veikšana</w:t>
            </w:r>
            <w:r>
              <w:t xml:space="preserve"> bija formulēta tādējādi, ka tā</w:t>
            </w:r>
            <w:r w:rsidRPr="008266EE">
              <w:t xml:space="preserve"> tieši attiecās tikai uz publisko būvdarbu, nevis pakalpojumu sniegšanas līgumiem</w:t>
            </w:r>
            <w:r>
              <w:t>.</w:t>
            </w:r>
            <w:r>
              <w:rPr>
                <w:rStyle w:val="FootnoteReference"/>
              </w:rPr>
              <w:footnoteReference w:id="57"/>
            </w:r>
          </w:p>
        </w:tc>
      </w:tr>
    </w:tbl>
    <w:p w14:paraId="5C903D9A" w14:textId="77777777" w:rsidR="00831960" w:rsidRDefault="00831960" w:rsidP="00270EB6">
      <w:pPr>
        <w:spacing w:after="0"/>
        <w:ind w:firstLine="540"/>
        <w:jc w:val="both"/>
        <w:rPr>
          <w:rFonts w:ascii="TimesNewRomanPSMT" w:eastAsiaTheme="minorHAnsi" w:hAnsi="TimesNewRomanPSMT" w:cs="TimesNewRomanPSMT"/>
        </w:rPr>
      </w:pPr>
    </w:p>
    <w:p w14:paraId="2067FE07" w14:textId="77777777" w:rsidR="00D60090" w:rsidRDefault="00D60090" w:rsidP="00B40542">
      <w:pPr>
        <w:spacing w:after="0"/>
        <w:ind w:right="6" w:firstLine="540"/>
        <w:jc w:val="both"/>
        <w:rPr>
          <w:b/>
        </w:rPr>
      </w:pPr>
    </w:p>
    <w:p w14:paraId="5089209E" w14:textId="77777777" w:rsidR="00D60090" w:rsidRDefault="00D60090" w:rsidP="00B40542">
      <w:pPr>
        <w:spacing w:after="0"/>
        <w:ind w:right="6" w:firstLine="540"/>
        <w:jc w:val="both"/>
        <w:rPr>
          <w:b/>
        </w:rPr>
      </w:pPr>
    </w:p>
    <w:p w14:paraId="294B9694" w14:textId="77777777" w:rsidR="00B40542" w:rsidRPr="00ED02A9" w:rsidRDefault="00B40542" w:rsidP="00B40542">
      <w:pPr>
        <w:spacing w:after="0"/>
        <w:ind w:right="6" w:firstLine="540"/>
        <w:jc w:val="both"/>
        <w:rPr>
          <w:b/>
        </w:rPr>
      </w:pPr>
      <w:r w:rsidRPr="00ED02A9">
        <w:rPr>
          <w:b/>
        </w:rPr>
        <w:t>Atļauja vienam no likvid</w:t>
      </w:r>
      <w:r>
        <w:rPr>
          <w:b/>
        </w:rPr>
        <w:t>ēta</w:t>
      </w:r>
      <w:r w:rsidRPr="00ED02A9">
        <w:rPr>
          <w:b/>
        </w:rPr>
        <w:t xml:space="preserve"> </w:t>
      </w:r>
      <w:r>
        <w:rPr>
          <w:b/>
        </w:rPr>
        <w:t>konsorcija</w:t>
      </w:r>
      <w:r w:rsidRPr="00ED02A9">
        <w:rPr>
          <w:b/>
        </w:rPr>
        <w:t xml:space="preserve"> dalībniekiem iesniegt piedāvājumu sarunu procedūrā</w:t>
      </w:r>
    </w:p>
    <w:p w14:paraId="53DC63F6" w14:textId="77777777" w:rsidR="00B40542" w:rsidRDefault="00B40542" w:rsidP="00B40542">
      <w:pPr>
        <w:spacing w:after="0"/>
        <w:ind w:right="6" w:firstLine="540"/>
        <w:jc w:val="both"/>
      </w:pPr>
      <w:r>
        <w:t>U</w:t>
      </w:r>
      <w:r w:rsidRPr="00083653">
        <w:t>zņēmējs var turpināt dal</w:t>
      </w:r>
      <w:r>
        <w:t>ību sarunu procedūrā savā vārdā</w:t>
      </w:r>
      <w:r w:rsidRPr="00083653">
        <w:t xml:space="preserve"> pēc grupas, kuras daļa tas bija un kuru līgumslēdzēja iestāde izvēlējās priekšatlasē, likvidēšanas tikai ar nosacījumu, ka tas nekaitē vienlīdzīgas attieksmes pret visiem pretendentiem principam.</w:t>
      </w:r>
      <w:r>
        <w:t xml:space="preserve"> L</w:t>
      </w:r>
      <w:r w:rsidRPr="008B17C6">
        <w:t xml:space="preserve">īgumslēdzēja iestāde nepārkāpj </w:t>
      </w:r>
      <w:r>
        <w:t xml:space="preserve">Direktīvā 2004/17 ietverto vienlīdzības principu, ja </w:t>
      </w:r>
      <w:r w:rsidRPr="008B17C6">
        <w:t>tā atļauj vienam no diviem uzņēmējiem, kurš bija uzņēmēju grupā, kuru kā tādu šī iestāde aicināja iesniegt piedāvājumu, iestāties šīs grupas vietā pēc tās likvidēšanas un savā vārdā piedalīties sarunu procedūrā publiskā iepirkuma līguma slēgšanas tiesību piešķiršanai, ja vien ir pierādīts, ka, pirmkārt, šis uzņēmējs viens pats atbilst šīs iestādes definētām prasībām un, otrkārt, ka tā dalības turpināšana šajā procedūrā neizraisa citu pretendentu konkurences situācijas pasliktināšanos.</w:t>
      </w:r>
      <w:r>
        <w:rPr>
          <w:rStyle w:val="FootnoteReference"/>
        </w:rPr>
        <w:footnoteReference w:id="58"/>
      </w:r>
    </w:p>
    <w:p w14:paraId="13FF7BA9" w14:textId="77777777" w:rsidR="00A15899" w:rsidRDefault="00A15899" w:rsidP="0021262B">
      <w:pPr>
        <w:spacing w:after="0"/>
        <w:ind w:firstLine="567"/>
        <w:jc w:val="both"/>
      </w:pPr>
    </w:p>
    <w:p w14:paraId="5B64DC52" w14:textId="77777777" w:rsidR="00D14D8E" w:rsidRDefault="00D14D8E" w:rsidP="0021262B">
      <w:pPr>
        <w:spacing w:after="0"/>
        <w:ind w:firstLine="567"/>
        <w:jc w:val="both"/>
      </w:pPr>
    </w:p>
    <w:p w14:paraId="47BB25EB" w14:textId="77777777" w:rsidR="009C45A3" w:rsidRDefault="009C45A3">
      <w:pPr>
        <w:spacing w:after="160" w:line="259" w:lineRule="auto"/>
        <w:rPr>
          <w:rFonts w:eastAsiaTheme="majorEastAsia" w:cstheme="majorBidi"/>
          <w:b/>
          <w:caps/>
          <w:szCs w:val="24"/>
        </w:rPr>
      </w:pPr>
      <w:r>
        <w:br w:type="page"/>
      </w:r>
    </w:p>
    <w:p w14:paraId="150B08DD" w14:textId="6C52A70E" w:rsidR="00D14D8E" w:rsidRPr="003F3579" w:rsidRDefault="008B3DBC" w:rsidP="00D14D8E">
      <w:pPr>
        <w:pStyle w:val="Heading3"/>
        <w:ind w:left="283"/>
      </w:pPr>
      <w:bookmarkStart w:id="15" w:name="_Toc491088013"/>
      <w:r>
        <w:lastRenderedPageBreak/>
        <w:t>3.3</w:t>
      </w:r>
      <w:r w:rsidR="00D14D8E">
        <w:t xml:space="preserve">. </w:t>
      </w:r>
      <w:r w:rsidR="00130784">
        <w:t>I</w:t>
      </w:r>
      <w:r w:rsidR="00A82360">
        <w:t>epirkuma līguma noslēgšana un izpilde</w:t>
      </w:r>
      <w:bookmarkEnd w:id="15"/>
    </w:p>
    <w:p w14:paraId="635FC034" w14:textId="77777777" w:rsidR="00D14D8E" w:rsidRDefault="00D14D8E" w:rsidP="00D14D8E">
      <w:pPr>
        <w:pStyle w:val="ListParagraph"/>
        <w:autoSpaceDE w:val="0"/>
        <w:autoSpaceDN w:val="0"/>
        <w:adjustRightInd w:val="0"/>
        <w:spacing w:after="0"/>
        <w:rPr>
          <w:b/>
        </w:rPr>
      </w:pPr>
    </w:p>
    <w:p w14:paraId="5D003E72" w14:textId="1F1511C0" w:rsidR="00D95BAA" w:rsidRPr="00D95BAA" w:rsidRDefault="00D95BAA" w:rsidP="00D14D8E">
      <w:pPr>
        <w:spacing w:after="0"/>
        <w:ind w:firstLine="567"/>
        <w:jc w:val="both"/>
        <w:rPr>
          <w:b/>
        </w:rPr>
      </w:pPr>
      <w:r w:rsidRPr="00D95BAA">
        <w:rPr>
          <w:b/>
        </w:rPr>
        <w:t>Būtiski grozījumi līgumā pēc līguma slēgšanas tiesību piešķiršanas</w:t>
      </w:r>
    </w:p>
    <w:p w14:paraId="7ED4F9C4" w14:textId="49FA8D06" w:rsidR="008249A5" w:rsidRDefault="000E3FC2" w:rsidP="00D14D8E">
      <w:pPr>
        <w:spacing w:after="0"/>
        <w:ind w:firstLine="567"/>
        <w:jc w:val="both"/>
      </w:pPr>
      <w:r>
        <w:t xml:space="preserve">Nav pieļaujams, ka </w:t>
      </w:r>
      <w:r w:rsidRPr="000E3FC2">
        <w:t>pēc publiska līguma slēgšanas tiesību piešķiršanas līgumslēdzēja iestāde un izraudzītais pretendents šī līguma noteikumos izdara grozījumus tā, ka šie noteikumi būtiski atšķiras no sākotnējā līguma noteikumiem.</w:t>
      </w:r>
      <w:r w:rsidR="00BB5307" w:rsidRPr="00BB5307">
        <w:rPr>
          <w:rStyle w:val="FootnoteReference"/>
        </w:rPr>
        <w:t xml:space="preserve"> </w:t>
      </w:r>
      <w:r w:rsidR="00BB5307">
        <w:rPr>
          <w:rStyle w:val="FootnoteReference"/>
        </w:rPr>
        <w:footnoteReference w:id="59"/>
      </w:r>
      <w:r w:rsidR="00BB5307" w:rsidRPr="000E3FC2">
        <w:t xml:space="preserve"> </w:t>
      </w:r>
    </w:p>
    <w:p w14:paraId="5A401BC4" w14:textId="77777777" w:rsidR="008249A5" w:rsidRDefault="008249A5" w:rsidP="00D14D8E">
      <w:pPr>
        <w:spacing w:after="0"/>
        <w:ind w:firstLine="567"/>
        <w:jc w:val="both"/>
      </w:pPr>
    </w:p>
    <w:p w14:paraId="14BC042E" w14:textId="6D2830B9" w:rsidR="009755F0" w:rsidRPr="00A5677E" w:rsidRDefault="00A5677E" w:rsidP="00D14D8E">
      <w:pPr>
        <w:spacing w:after="0"/>
        <w:ind w:firstLine="567"/>
        <w:jc w:val="both"/>
        <w:rPr>
          <w:b/>
        </w:rPr>
      </w:pPr>
      <w:r>
        <w:rPr>
          <w:b/>
        </w:rPr>
        <w:t>1) </w:t>
      </w:r>
      <w:r w:rsidR="009755F0" w:rsidRPr="00A5677E">
        <w:rPr>
          <w:b/>
        </w:rPr>
        <w:t>Būtisk</w:t>
      </w:r>
      <w:r w:rsidR="003D3E49">
        <w:rPr>
          <w:b/>
        </w:rPr>
        <w:t>u</w:t>
      </w:r>
      <w:r w:rsidRPr="00A5677E">
        <w:rPr>
          <w:b/>
        </w:rPr>
        <w:t xml:space="preserve"> līguma groz</w:t>
      </w:r>
      <w:r w:rsidR="003D3E49">
        <w:rPr>
          <w:b/>
        </w:rPr>
        <w:t>ījumu</w:t>
      </w:r>
      <w:r w:rsidRPr="00A5677E">
        <w:rPr>
          <w:b/>
        </w:rPr>
        <w:t xml:space="preserve"> izpratne</w:t>
      </w:r>
    </w:p>
    <w:p w14:paraId="6B5D7463" w14:textId="0A0BAB6A" w:rsidR="00D14D8E" w:rsidRDefault="003464B7" w:rsidP="00D14D8E">
      <w:pPr>
        <w:spacing w:after="0"/>
        <w:ind w:firstLine="567"/>
        <w:jc w:val="both"/>
      </w:pPr>
      <w:r>
        <w:t xml:space="preserve">Būtiski grozījumi līgumā pēc līguma slēgšanas tiesību piešķiršanas ir konstatējami, ja </w:t>
      </w:r>
      <w:r w:rsidR="000E3FC2" w:rsidRPr="000E3FC2">
        <w:t>iecerēto grozījumu sekas ir vai nu būtiskā mērā paplašināts līgums, attiecinot to uz neparedzētiem elementiem, vai mainīts līguma ekonomiskais līdzsvars par labu izraudzītajam pretendentam, vai arī gadījumā, ja šo grozījumu dēļ var tikt apšaubīta līguma slēgšanas tiesību piešķiršana tādā izpratnē, ka, ja šie grozījumi būtu iekļauti sākotnējā publiskā iepirkuma procedūras dokumentos, tad vai nu būtu izraudzīts cits piedāvājums, vai arī pielaisti citi pretendenti</w:t>
      </w:r>
      <w:r w:rsidR="000E3FC2">
        <w:t>.</w:t>
      </w:r>
      <w:r w:rsidR="000E3FC2">
        <w:rPr>
          <w:rStyle w:val="FootnoteReference"/>
        </w:rPr>
        <w:footnoteReference w:id="60"/>
      </w:r>
      <w:r w:rsidR="000E3FC2" w:rsidRPr="000E3FC2">
        <w:t xml:space="preserve"> </w:t>
      </w:r>
    </w:p>
    <w:p w14:paraId="678C6D22" w14:textId="77777777" w:rsidR="00111280" w:rsidRDefault="00111280" w:rsidP="00D14D8E">
      <w:pPr>
        <w:spacing w:after="0"/>
        <w:ind w:firstLine="567"/>
        <w:jc w:val="both"/>
      </w:pPr>
    </w:p>
    <w:p w14:paraId="37D3D700" w14:textId="7CBBB86D" w:rsidR="003E149F" w:rsidRPr="00E33A8C" w:rsidRDefault="003464B7" w:rsidP="00D14D8E">
      <w:pPr>
        <w:spacing w:after="0"/>
        <w:ind w:firstLine="567"/>
        <w:jc w:val="both"/>
        <w:rPr>
          <w:b/>
        </w:rPr>
      </w:pPr>
      <w:r>
        <w:rPr>
          <w:b/>
        </w:rPr>
        <w:t>2) </w:t>
      </w:r>
      <w:r w:rsidR="00E33A8C" w:rsidRPr="00E33A8C">
        <w:rPr>
          <w:b/>
        </w:rPr>
        <w:t>Līguma grozīšana, būtiski samazinot līguma priekšmetu</w:t>
      </w:r>
    </w:p>
    <w:p w14:paraId="54A2017B" w14:textId="429F0888" w:rsidR="003E149F" w:rsidRDefault="003E149F" w:rsidP="00D14D8E">
      <w:pPr>
        <w:spacing w:after="0"/>
        <w:ind w:firstLine="567"/>
        <w:jc w:val="both"/>
      </w:pPr>
      <w:r>
        <w:t>T</w:t>
      </w:r>
      <w:r w:rsidRPr="003E149F">
        <w:t>ādai līguma elementu grozīšanai, kas sastāv no būtiska līguma priekšmeta samazinājuma, sekas var būt tādas, ka tas var būt pieejams lielākam skaitam saimnieciskās darbības subjektu. Faktiski, tā kā līguma sākotnējā nozīme bija tāda, ka tikai daži uzņēmumi varēja iesniegt savu kandidatūru vai piedāvājumu, minētā līguma apmēra samazinājums var padarīt to interesantu arī citiem mazākiem saimnieciskās darbības subjektiem. Turklāt konkrētā līguma minimālajiem iespēju līmeņiem sa</w:t>
      </w:r>
      <w:r w:rsidR="00531A82">
        <w:t>skaņā ar Direktīvas 2004/18 44.panta 2.</w:t>
      </w:r>
      <w:r w:rsidRPr="003E149F">
        <w:t>punkta otro daļu ir jābūt saistītiem ar minētā līguma priekšmetu un samērīgiem ar to, jo līguma priekšmeta samazinājums var proporcionāli samazināt kandidātiem vai pretendentiem noteiktās kapacitātes prasības.</w:t>
      </w:r>
      <w:r w:rsidR="00531A82">
        <w:rPr>
          <w:rStyle w:val="FootnoteReference"/>
        </w:rPr>
        <w:footnoteReference w:id="61"/>
      </w:r>
    </w:p>
    <w:p w14:paraId="4765182B" w14:textId="77777777" w:rsidR="00D14D8E" w:rsidRDefault="00D14D8E" w:rsidP="0021262B">
      <w:pPr>
        <w:spacing w:after="0"/>
        <w:ind w:firstLine="567"/>
        <w:jc w:val="both"/>
      </w:pPr>
    </w:p>
    <w:p w14:paraId="0989EAA8" w14:textId="0E7946B4" w:rsidR="00E766FE" w:rsidRPr="006B041A" w:rsidRDefault="00AE6FBD" w:rsidP="0021262B">
      <w:pPr>
        <w:spacing w:after="0"/>
        <w:ind w:firstLine="567"/>
        <w:jc w:val="both"/>
        <w:rPr>
          <w:b/>
        </w:rPr>
      </w:pPr>
      <w:r w:rsidRPr="006B041A">
        <w:rPr>
          <w:b/>
        </w:rPr>
        <w:t>3) Līguma būtiska</w:t>
      </w:r>
      <w:r w:rsidR="00226A4F">
        <w:rPr>
          <w:b/>
        </w:rPr>
        <w:t>s</w:t>
      </w:r>
      <w:r w:rsidRPr="006B041A">
        <w:rPr>
          <w:b/>
        </w:rPr>
        <w:t xml:space="preserve"> grozīšana</w:t>
      </w:r>
      <w:r w:rsidR="00226A4F">
        <w:rPr>
          <w:b/>
        </w:rPr>
        <w:t>s</w:t>
      </w:r>
      <w:r w:rsidR="006B041A" w:rsidRPr="006B041A">
        <w:rPr>
          <w:b/>
        </w:rPr>
        <w:t xml:space="preserve"> paredzēšana sākotnējā līguma noteikumos</w:t>
      </w:r>
    </w:p>
    <w:p w14:paraId="6BED4C02" w14:textId="75DDCDA8" w:rsidR="00E766FE" w:rsidRDefault="001216CC" w:rsidP="0021262B">
      <w:pPr>
        <w:spacing w:after="0"/>
        <w:ind w:firstLine="567"/>
        <w:jc w:val="both"/>
      </w:pPr>
      <w:r w:rsidRPr="001216CC">
        <w:t>Iest</w:t>
      </w:r>
      <w:r>
        <w:t xml:space="preserve">ādēm pastāv iespēja </w:t>
      </w:r>
      <w:r w:rsidR="004D4408">
        <w:t xml:space="preserve">iepirkuma dokumentos </w:t>
      </w:r>
      <w:r w:rsidR="008E6095" w:rsidRPr="008E6095">
        <w:t>paredzēt iespēju līgumslēdzējai iestādei pielāgot noteiktus minētā līguma nosacījumus, pat būtiskus, pēc tā slēgšanas tiesību piešķiršanas. Minētajos dokumentos tieši paredzot šo iespēju un nosakot tās piemērošanas noteikumus, līgumslēdzēja iestāde nodrošina, ka visi saimnieciskās darbības subjekti, kas ieinteresēti piedalīties minētajā līgumā, jau no paša sākuma zina par šo iespēju un līdz ar to ir vienlīdzīgi, izstrādājot savu piedāvājumu</w:t>
      </w:r>
      <w:r w:rsidR="008E6095">
        <w:t>.</w:t>
      </w:r>
      <w:r w:rsidR="008E6095">
        <w:rPr>
          <w:rStyle w:val="FootnoteReference"/>
        </w:rPr>
        <w:footnoteReference w:id="62"/>
      </w:r>
      <w:r w:rsidR="008E6095" w:rsidRPr="008E6095">
        <w:t xml:space="preserve"> </w:t>
      </w:r>
    </w:p>
    <w:p w14:paraId="7D6D9834" w14:textId="77777777" w:rsidR="00EE31CD" w:rsidRPr="001216CC" w:rsidRDefault="00EE31CD" w:rsidP="0021262B">
      <w:pPr>
        <w:spacing w:after="0"/>
        <w:ind w:firstLine="567"/>
        <w:jc w:val="both"/>
      </w:pPr>
    </w:p>
    <w:p w14:paraId="15E11DCB" w14:textId="77777777" w:rsidR="006B041A" w:rsidRDefault="006B041A" w:rsidP="0021262B">
      <w:pPr>
        <w:spacing w:after="0"/>
        <w:ind w:firstLine="567"/>
        <w:jc w:val="both"/>
      </w:pPr>
    </w:p>
    <w:p w14:paraId="37E5B297" w14:textId="106AC0B2" w:rsidR="0055774A" w:rsidRPr="002A6AEC" w:rsidRDefault="00E766FE" w:rsidP="0021262B">
      <w:pPr>
        <w:spacing w:after="0"/>
        <w:ind w:firstLine="567"/>
        <w:jc w:val="both"/>
        <w:rPr>
          <w:b/>
        </w:rPr>
      </w:pPr>
      <w:r>
        <w:rPr>
          <w:b/>
        </w:rPr>
        <w:lastRenderedPageBreak/>
        <w:t>4</w:t>
      </w:r>
      <w:r w:rsidR="00E83C7A" w:rsidRPr="002A6AEC">
        <w:rPr>
          <w:b/>
        </w:rPr>
        <w:t>) Nepieciešamība rīkot jaunu publiskā iepirkuma procedūru, ja nepieciešams būtiski grozīt līgumu</w:t>
      </w:r>
    </w:p>
    <w:p w14:paraId="2C010229" w14:textId="3DD7A268" w:rsidR="001D6A99" w:rsidRDefault="001D6A99" w:rsidP="001D6A99">
      <w:pPr>
        <w:spacing w:after="0"/>
        <w:ind w:firstLine="567"/>
        <w:jc w:val="both"/>
      </w:pPr>
      <w:r w:rsidRPr="00D9359D">
        <w:t>Principā būtiski publiskā līguma grozījumi pēc tam, kad ir tikušas piešķirtas tiesības to noslēgt, nevar tikt veikti, līgumslēdzējai iestādei un izraudzītajam pretendentam savstarpēji vienojoties, bet saistībā ar tiem ir jārīko jauna publiskā iepirkuma procedūra, kas attiecas uz šādi grozīto līgumu</w:t>
      </w:r>
      <w:r w:rsidR="00BC435E">
        <w:t>.</w:t>
      </w:r>
      <w:r w:rsidR="00BC435E">
        <w:rPr>
          <w:rStyle w:val="FootnoteReference"/>
        </w:rPr>
        <w:footnoteReference w:id="63"/>
      </w:r>
      <w:r w:rsidR="00D60E06">
        <w:t xml:space="preserve"> </w:t>
      </w:r>
      <w:r w:rsidRPr="00D9359D">
        <w:t>Tas būtu citādi tikai tad, ja šie grozījumi būtu paredzēti sākotnējā līguma noteikumos</w:t>
      </w:r>
      <w:r w:rsidR="00D60E06">
        <w:t>.</w:t>
      </w:r>
      <w:r w:rsidR="00D60E06">
        <w:rPr>
          <w:rStyle w:val="FootnoteReference"/>
        </w:rPr>
        <w:footnoteReference w:id="64"/>
      </w:r>
      <w:r w:rsidRPr="00D9359D">
        <w:t xml:space="preserve"> </w:t>
      </w:r>
    </w:p>
    <w:p w14:paraId="4604FE0B" w14:textId="77777777" w:rsidR="00E83C7A" w:rsidRDefault="00E83C7A" w:rsidP="0021262B">
      <w:pPr>
        <w:spacing w:after="0"/>
        <w:ind w:firstLine="567"/>
        <w:jc w:val="both"/>
      </w:pPr>
    </w:p>
    <w:p w14:paraId="6FA374D2" w14:textId="5D6D6137" w:rsidR="00E15BD9" w:rsidRPr="002A6AEC" w:rsidRDefault="00DF5E46" w:rsidP="00E15BD9">
      <w:pPr>
        <w:spacing w:after="0"/>
        <w:ind w:firstLine="567"/>
        <w:jc w:val="both"/>
        <w:rPr>
          <w:b/>
        </w:rPr>
      </w:pPr>
      <w:r>
        <w:rPr>
          <w:b/>
        </w:rPr>
        <w:t>5</w:t>
      </w:r>
      <w:r w:rsidR="00E15BD9" w:rsidRPr="002A6AEC">
        <w:rPr>
          <w:b/>
        </w:rPr>
        <w:t>) </w:t>
      </w:r>
      <w:r w:rsidR="0041277C">
        <w:rPr>
          <w:b/>
        </w:rPr>
        <w:t xml:space="preserve">Būtiski grozījumi, </w:t>
      </w:r>
      <w:r w:rsidR="00E036DF">
        <w:rPr>
          <w:b/>
        </w:rPr>
        <w:t>noslēdzot</w:t>
      </w:r>
      <w:r w:rsidR="0041277C" w:rsidRPr="0041277C">
        <w:rPr>
          <w:b/>
        </w:rPr>
        <w:t xml:space="preserve"> izlīgumu, kas ietver abu pušu </w:t>
      </w:r>
      <w:r w:rsidR="0041277C">
        <w:rPr>
          <w:b/>
        </w:rPr>
        <w:t>piekāpšanos</w:t>
      </w:r>
      <w:r w:rsidR="0041277C" w:rsidRPr="0041277C">
        <w:rPr>
          <w:b/>
        </w:rPr>
        <w:t>, lai izbeigtu strīdu</w:t>
      </w:r>
    </w:p>
    <w:p w14:paraId="2C3E10B3" w14:textId="1A57F0DE" w:rsidR="0041277C" w:rsidRDefault="00E7278F" w:rsidP="0021262B">
      <w:pPr>
        <w:spacing w:after="0"/>
        <w:ind w:firstLine="567"/>
        <w:jc w:val="both"/>
      </w:pPr>
      <w:r>
        <w:t>P</w:t>
      </w:r>
      <w:r w:rsidRPr="00E7278F">
        <w:t>ēc publiska līguma slēgšanas tiesību piešķiršanas šajā līgumā nevar veikt būtiskus grozījumus, neuzsākot jaunu publiskā iepirkuma procedūru, pat ja šie grozījumi objektīvā ziņā nozīmē izlīgumu, kas ietver abu pušu atteikšanos, lai izbeigtu strīdu, kura risinājums nav skaidrs un kurš izriet no grūtībām, ar ko ir saistīta šī līguma izpilde.</w:t>
      </w:r>
    </w:p>
    <w:p w14:paraId="461AC7E3" w14:textId="77777777" w:rsidR="00233534" w:rsidRPr="00381475" w:rsidRDefault="00233534" w:rsidP="00233534">
      <w:pPr>
        <w:spacing w:after="0" w:line="240" w:lineRule="auto"/>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233534" w:rsidRPr="00381475" w14:paraId="38A58B47" w14:textId="77777777" w:rsidTr="006F5810">
        <w:tc>
          <w:tcPr>
            <w:tcW w:w="7932" w:type="dxa"/>
            <w:shd w:val="clear" w:color="auto" w:fill="F2F2F2" w:themeFill="background1" w:themeFillShade="F2"/>
          </w:tcPr>
          <w:p w14:paraId="0C7326D6" w14:textId="7607A94C" w:rsidR="00233534" w:rsidRPr="00381475" w:rsidRDefault="00233534" w:rsidP="00B15255">
            <w:pPr>
              <w:ind w:firstLine="720"/>
              <w:jc w:val="both"/>
            </w:pPr>
            <w:r w:rsidRPr="00381475">
              <w:t xml:space="preserve">Lietā </w:t>
            </w:r>
            <w:r>
              <w:t>„</w:t>
            </w:r>
            <w:r w:rsidRPr="00233534">
              <w:t>Finn Frogne</w:t>
            </w:r>
            <w:r>
              <w:t xml:space="preserve">” līguma izpildes laikā radās grūtības ar piegādes termiņu ievērošanu, tādēļ iestāde un iepirkuma uzvarētājs abpusēji atteicās no atbildības par nespēju izpildīt līgumu tā, kā tas bija paredzēts. Pēc pārrunām puses vienojās par izlīgumu, saskaņā ar kuru līguma priekšmets tiktu samazināts tādējādi, ka tas attiektos tikai uz radiosakaru sistēmas piegādi reģionālajiem policijas dienestiem par aptuveno summu </w:t>
            </w:r>
            <w:r w:rsidR="00B15255">
              <w:t>EUR 4 690 000</w:t>
            </w:r>
            <w:r>
              <w:t xml:space="preserve">, savukārt </w:t>
            </w:r>
            <w:r w:rsidR="00B15255">
              <w:t>iestāde</w:t>
            </w:r>
            <w:r>
              <w:t xml:space="preserve"> iegādātos divas centrālās serveru fermas, kuru aptuvenā vērtība ir </w:t>
            </w:r>
            <w:r w:rsidR="00B15255">
              <w:t>EUR 6 700 000</w:t>
            </w:r>
            <w:r>
              <w:t xml:space="preserve"> un kuras </w:t>
            </w:r>
            <w:r w:rsidR="00B15255">
              <w:t>iepirkuma uzvarētāja</w:t>
            </w:r>
            <w:r>
              <w:t xml:space="preserve"> pati bija iegādājusies ar mērķi tās iznomāt </w:t>
            </w:r>
            <w:r w:rsidR="00B15255">
              <w:t>iestādei</w:t>
            </w:r>
            <w:r>
              <w:t xml:space="preserve"> sākotnējā līguma izpildes ietvaros. Šajā izlīgumā abas puses paredzēja atteikties no jebkādām tiesībām, kas izriet no sākotnējā līguma, izņemot tās, kuras izriet no šī izlīguma.</w:t>
            </w:r>
            <w:r>
              <w:rPr>
                <w:rStyle w:val="FootnoteReference"/>
              </w:rPr>
              <w:footnoteReference w:id="65"/>
            </w:r>
          </w:p>
        </w:tc>
      </w:tr>
    </w:tbl>
    <w:p w14:paraId="5A5C85D0" w14:textId="77777777" w:rsidR="0041277C" w:rsidRDefault="0041277C" w:rsidP="0021262B">
      <w:pPr>
        <w:spacing w:after="0"/>
        <w:ind w:firstLine="567"/>
        <w:jc w:val="both"/>
      </w:pPr>
    </w:p>
    <w:p w14:paraId="1A775924" w14:textId="4A99C85F" w:rsidR="00E15BD9" w:rsidRDefault="003142E4" w:rsidP="0021262B">
      <w:pPr>
        <w:spacing w:after="0"/>
        <w:ind w:firstLine="567"/>
        <w:jc w:val="both"/>
      </w:pPr>
      <w:r>
        <w:t>Arī šādu izlīgumu Eiropas Savienības Tiesa atzina par nepie</w:t>
      </w:r>
      <w:r w:rsidR="00D31885">
        <w:t>ļaujamu</w:t>
      </w:r>
      <w:r w:rsidR="00867E21">
        <w:t>, norādot piebildi, ka c</w:t>
      </w:r>
      <w:r w:rsidR="00E7278F" w:rsidRPr="00E7278F">
        <w:t>itādi būtu tikai tad, ja minētā līguma dokumentos būtu paredzēta iespēja pēc tā slēgšanas tiesību piešķiršanas pielāgot noteiktus līguma nosacījumus, pat būtiskus, un būtu paredzēti šīs iespējas piemērošanas noteikumi.</w:t>
      </w:r>
      <w:r w:rsidR="00867E21">
        <w:rPr>
          <w:rStyle w:val="FootnoteReference"/>
        </w:rPr>
        <w:footnoteReference w:id="66"/>
      </w:r>
    </w:p>
    <w:p w14:paraId="21A7A806" w14:textId="196C78DE" w:rsidR="006F5C77" w:rsidRDefault="006F5C77">
      <w:pPr>
        <w:spacing w:after="160" w:line="259" w:lineRule="auto"/>
      </w:pPr>
      <w:r>
        <w:br w:type="page"/>
      </w:r>
    </w:p>
    <w:p w14:paraId="7B1AEA0E" w14:textId="24D509D3" w:rsidR="0068644E" w:rsidRPr="003F3579" w:rsidRDefault="0054787C" w:rsidP="0068644E">
      <w:pPr>
        <w:pStyle w:val="Heading3"/>
        <w:ind w:left="283"/>
      </w:pPr>
      <w:bookmarkStart w:id="16" w:name="_Toc491088014"/>
      <w:r>
        <w:lastRenderedPageBreak/>
        <w:t>3.4</w:t>
      </w:r>
      <w:r w:rsidR="0068644E">
        <w:t>. Direktīvas piemērošanas izņēmumi</w:t>
      </w:r>
      <w:bookmarkEnd w:id="16"/>
      <w:r w:rsidR="0068644E">
        <w:t xml:space="preserve"> </w:t>
      </w:r>
    </w:p>
    <w:p w14:paraId="529224BA" w14:textId="77777777" w:rsidR="0068644E" w:rsidRDefault="0068644E" w:rsidP="0068644E">
      <w:pPr>
        <w:pStyle w:val="ListParagraph"/>
        <w:autoSpaceDE w:val="0"/>
        <w:autoSpaceDN w:val="0"/>
        <w:adjustRightInd w:val="0"/>
        <w:spacing w:after="0"/>
        <w:rPr>
          <w:b/>
        </w:rPr>
      </w:pPr>
    </w:p>
    <w:p w14:paraId="4B97E756" w14:textId="6465842E" w:rsidR="0068644E" w:rsidRDefault="00CD67C1" w:rsidP="0068644E">
      <w:pPr>
        <w:spacing w:after="0"/>
        <w:ind w:firstLine="567"/>
        <w:jc w:val="both"/>
        <w:rPr>
          <w:b/>
        </w:rPr>
      </w:pPr>
      <w:r w:rsidRPr="006F0FE2">
        <w:rPr>
          <w:b/>
          <w:i/>
        </w:rPr>
        <w:t>In house</w:t>
      </w:r>
      <w:r>
        <w:rPr>
          <w:b/>
        </w:rPr>
        <w:t xml:space="preserve"> līgumu slēgšana </w:t>
      </w:r>
    </w:p>
    <w:p w14:paraId="258CD757" w14:textId="77777777" w:rsidR="00CD67C1" w:rsidRDefault="00CD67C1" w:rsidP="0068644E">
      <w:pPr>
        <w:spacing w:after="0"/>
        <w:ind w:firstLine="567"/>
        <w:jc w:val="both"/>
        <w:rPr>
          <w:b/>
        </w:rPr>
      </w:pPr>
    </w:p>
    <w:p w14:paraId="272DFD66" w14:textId="1517A6FC" w:rsidR="00CD67C1" w:rsidRDefault="006B22AA" w:rsidP="0068644E">
      <w:pPr>
        <w:spacing w:after="0"/>
        <w:ind w:firstLine="567"/>
        <w:jc w:val="both"/>
        <w:rPr>
          <w:b/>
        </w:rPr>
      </w:pPr>
      <w:r>
        <w:rPr>
          <w:b/>
        </w:rPr>
        <w:t xml:space="preserve">1) Publisko līgumu pieejamība brīvai konkurencei </w:t>
      </w:r>
    </w:p>
    <w:p w14:paraId="2ECA5DC0" w14:textId="0B65DBF5" w:rsidR="00804ED1" w:rsidRDefault="00CB7F44" w:rsidP="00CB7F44">
      <w:pPr>
        <w:spacing w:after="0"/>
        <w:ind w:firstLine="567"/>
        <w:jc w:val="both"/>
      </w:pPr>
      <w:r>
        <w:t xml:space="preserve">Eiropas </w:t>
      </w:r>
      <w:r w:rsidRPr="00CB7F44">
        <w:t>Savienības tiesību normu galvenais mērķis publiskā iepirkuma līgumu jomā nosaka pienākumu piemērot atbilstošajās direktīvās paredzētos noteikumus par publiskā iepirkuma līgumu slēgšanas tiesību piešķiršanas procedūrām, ja līgumslēdzēja iestāde, piemēram, pašvaldība, paredz noslēgt ar juridiski patstāvīgu struktūru līgumu par atlīdzību, neatkarīgi no tā, vai šī struktūra ir līgumslēdzēja iestāde</w:t>
      </w:r>
      <w:r>
        <w:t>.</w:t>
      </w:r>
      <w:r w:rsidRPr="00CB7F44">
        <w:t xml:space="preserve"> </w:t>
      </w:r>
      <w:r>
        <w:t>I</w:t>
      </w:r>
      <w:r w:rsidRPr="00CB7F44">
        <w:t>kviens izņēmums no šī pienākuma piemērošanas ir interpretējams šauri</w:t>
      </w:r>
      <w:r w:rsidR="00797032">
        <w:t>.</w:t>
      </w:r>
      <w:r w:rsidR="00797032">
        <w:rPr>
          <w:rStyle w:val="FootnoteReference"/>
        </w:rPr>
        <w:footnoteReference w:id="67"/>
      </w:r>
      <w:r w:rsidRPr="00CB7F44">
        <w:t xml:space="preserve"> </w:t>
      </w:r>
    </w:p>
    <w:p w14:paraId="5DB40CBC" w14:textId="77777777" w:rsidR="00A96474" w:rsidRDefault="00A96474" w:rsidP="00CB7F44">
      <w:pPr>
        <w:spacing w:after="0"/>
        <w:ind w:firstLine="567"/>
        <w:jc w:val="both"/>
      </w:pPr>
    </w:p>
    <w:p w14:paraId="7E10E7D8" w14:textId="06450401" w:rsidR="005D2CD8" w:rsidRPr="00627BCB" w:rsidRDefault="005D2CD8" w:rsidP="00CB7F44">
      <w:pPr>
        <w:spacing w:after="0"/>
        <w:ind w:firstLine="567"/>
        <w:jc w:val="both"/>
        <w:rPr>
          <w:b/>
        </w:rPr>
      </w:pPr>
      <w:r w:rsidRPr="00627BCB">
        <w:rPr>
          <w:b/>
        </w:rPr>
        <w:t>2) </w:t>
      </w:r>
      <w:r w:rsidR="009F6912" w:rsidRPr="00627BCB">
        <w:rPr>
          <w:b/>
        </w:rPr>
        <w:t xml:space="preserve">Publiskas personas tiesības īstenot valsts pārvaldes uzdevumus, izmantojot savus iekšējos resursus </w:t>
      </w:r>
    </w:p>
    <w:p w14:paraId="5F59741E" w14:textId="308BFFA4" w:rsidR="00A96474" w:rsidRDefault="00BA0A05" w:rsidP="00CB7F44">
      <w:pPr>
        <w:spacing w:after="0"/>
        <w:ind w:firstLine="567"/>
        <w:jc w:val="both"/>
      </w:pPr>
      <w:r w:rsidRPr="00BA0A05">
        <w:t>Ņemot vērā, ka valsts iestāde var veikt sabiedrības interešu uzdevumus, kas tai ir jāveic, liekot lietā pati savus administratīvos, tehniskos un citus līdzekļus, un tai nav pienākuma pieaicināt ārējas struktūras, kas darbojas ārpus tās dienestiem</w:t>
      </w:r>
      <w:r w:rsidR="00C42033">
        <w:t>,</w:t>
      </w:r>
      <w:r w:rsidR="00443026">
        <w:rPr>
          <w:rStyle w:val="FootnoteReference"/>
        </w:rPr>
        <w:footnoteReference w:id="68"/>
      </w:r>
      <w:r w:rsidRPr="00BA0A05">
        <w:t xml:space="preserve"> </w:t>
      </w:r>
      <w:r w:rsidR="00C42033">
        <w:t>Eiropas Savienības</w:t>
      </w:r>
      <w:r w:rsidRPr="00BA0A05">
        <w:t xml:space="preserve"> Tiesa i</w:t>
      </w:r>
      <w:r w:rsidR="00F66C6F">
        <w:t>zņēmumu</w:t>
      </w:r>
      <w:r w:rsidR="00410F72">
        <w:t xml:space="preserve"> attiecībā uz tā saukto </w:t>
      </w:r>
      <w:r w:rsidRPr="001A063A">
        <w:rPr>
          <w:i/>
        </w:rPr>
        <w:t>in house</w:t>
      </w:r>
      <w:r w:rsidRPr="00BA0A05">
        <w:t xml:space="preserve"> līguma slēgšanas tiesību piešķiršanu atzīšanu p</w:t>
      </w:r>
      <w:r w:rsidR="00C42033">
        <w:t>amato</w:t>
      </w:r>
      <w:r w:rsidRPr="00BA0A05">
        <w:t xml:space="preserve"> ar īpašu iekšējo saikni, kas šādā gadījumā pastāv starp līgumslēdzēju iestādi un izraudzīto uzņēmumu, pat ja pēdējais minētais ir no pirmā minētā juridiski nošķirta vienība</w:t>
      </w:r>
      <w:r w:rsidR="00C42033">
        <w:t>.</w:t>
      </w:r>
      <w:r w:rsidR="00C42033">
        <w:rPr>
          <w:rStyle w:val="FootnoteReference"/>
        </w:rPr>
        <w:footnoteReference w:id="69"/>
      </w:r>
      <w:r w:rsidRPr="00BA0A05">
        <w:t xml:space="preserve"> Šādos gadījumos var uzskatīt, ka līgumslēdzēja iestāde faktiski izmanto pati savus līdzekļus un ka izraudzītais uzņēmums gandrīz vai veido daļu no tā tās iekšējiem dienestiem.</w:t>
      </w:r>
      <w:r w:rsidR="001A063A">
        <w:rPr>
          <w:rStyle w:val="FootnoteReference"/>
        </w:rPr>
        <w:footnoteReference w:id="70"/>
      </w:r>
    </w:p>
    <w:p w14:paraId="4AB86C92" w14:textId="77777777" w:rsidR="00E33805" w:rsidRDefault="00E33805" w:rsidP="00CB7F44">
      <w:pPr>
        <w:spacing w:after="0"/>
        <w:ind w:firstLine="567"/>
        <w:jc w:val="both"/>
      </w:pPr>
    </w:p>
    <w:p w14:paraId="10BA9F18" w14:textId="66D3A09C" w:rsidR="000147F7" w:rsidRDefault="000147F7" w:rsidP="00CB7F44">
      <w:pPr>
        <w:spacing w:after="0"/>
        <w:ind w:firstLine="567"/>
        <w:jc w:val="both"/>
      </w:pPr>
      <w:r w:rsidRPr="00410F72">
        <w:rPr>
          <w:b/>
        </w:rPr>
        <w:t>3) </w:t>
      </w:r>
      <w:r w:rsidR="00A075A5" w:rsidRPr="00410F72">
        <w:rPr>
          <w:b/>
        </w:rPr>
        <w:t xml:space="preserve">Nepieciešamās pazīmes </w:t>
      </w:r>
      <w:r w:rsidR="00410F72" w:rsidRPr="00410F72">
        <w:rPr>
          <w:b/>
          <w:i/>
        </w:rPr>
        <w:t>in house</w:t>
      </w:r>
      <w:r w:rsidR="00410F72" w:rsidRPr="00410F72">
        <w:rPr>
          <w:b/>
        </w:rPr>
        <w:t xml:space="preserve"> izņēmuma piemērošanai</w:t>
      </w:r>
      <w:r w:rsidR="00A075A5">
        <w:t xml:space="preserve"> </w:t>
      </w:r>
    </w:p>
    <w:p w14:paraId="03CCE6FE" w14:textId="37CA9588" w:rsidR="00E33805" w:rsidRDefault="00E33805" w:rsidP="00CB7F44">
      <w:pPr>
        <w:spacing w:after="0"/>
        <w:ind w:firstLine="567"/>
        <w:jc w:val="both"/>
      </w:pPr>
      <w:r w:rsidRPr="00E33805">
        <w:t>Lai šo nosacījumu varētu piemērot, ne tikai līgumslēdzējai iestādei izraudzītais uzņēmums ir jākontrolē tāpat, kā tā kontrolē savus dienestus, bet arī ir nepieciešams, lai šis uzņēmums lielāko darbības daļu veiktu līgumslēdzējas iestādes vai līgumslēdzēju iestāžu, kam tas pieder, labā</w:t>
      </w:r>
      <w:r w:rsidR="00A44B05">
        <w:t>.</w:t>
      </w:r>
      <w:r w:rsidR="00A44B05">
        <w:rPr>
          <w:rStyle w:val="FootnoteReference"/>
        </w:rPr>
        <w:footnoteReference w:id="71"/>
      </w:r>
      <w:r w:rsidR="00B97F14">
        <w:t xml:space="preserve"> </w:t>
      </w:r>
      <w:r w:rsidR="00D80466" w:rsidRPr="00D80466">
        <w:t>Tāpat ir nepieciešams, lai izraudzītā uzņēmuma darbība galvenokārt tiktu veltīta pašvaldībai vai pašvaldībām, kurām tas pieder, un jebkādai citai darbībai var būt tikai maznozīmīgs raksturs. Lai izvērtētu, vai šis ir tāds gadījums, kompetentajai tiesai ir jāņem vērā visi lietas apstākļi – kā kvalitatīvie, tā arī kvantitatīvie. Šajā ziņā atbilstošais apgrozījums ir tas, ko šis uzņēmums ir guvis saistībā ar šīs kontrolējošās iestādes vai iestāžu pieņemtajiem lēmumiem par publisko līgumu piešķiršanu</w:t>
      </w:r>
      <w:r w:rsidR="00D267C3">
        <w:t>.</w:t>
      </w:r>
      <w:r w:rsidR="00D267C3">
        <w:rPr>
          <w:rStyle w:val="FootnoteReference"/>
        </w:rPr>
        <w:footnoteReference w:id="72"/>
      </w:r>
      <w:r w:rsidR="00D80466" w:rsidRPr="00D80466">
        <w:t xml:space="preserve"> </w:t>
      </w:r>
    </w:p>
    <w:p w14:paraId="650F852E" w14:textId="01EBA285" w:rsidR="00C00982" w:rsidRDefault="001F6046" w:rsidP="00CB7F44">
      <w:pPr>
        <w:spacing w:after="0"/>
        <w:ind w:firstLine="567"/>
        <w:jc w:val="both"/>
      </w:pPr>
      <w:r>
        <w:lastRenderedPageBreak/>
        <w:t>P</w:t>
      </w:r>
      <w:r w:rsidRPr="001F6046">
        <w:t xml:space="preserve">iemērojot </w:t>
      </w:r>
      <w:r>
        <w:t xml:space="preserve">Eiropas Savienības </w:t>
      </w:r>
      <w:r w:rsidRPr="001F6046">
        <w:t>Tiesas judikatūru par tiešo publiskā iepirkuma līguma slēgšanas tiesību</w:t>
      </w:r>
      <w:r>
        <w:t xml:space="preserve"> piešķiršanu, proti, tā saukto </w:t>
      </w:r>
      <w:r w:rsidRPr="001F6046">
        <w:rPr>
          <w:i/>
        </w:rPr>
        <w:t>in house</w:t>
      </w:r>
      <w:r w:rsidRPr="001F6046">
        <w:t xml:space="preserve"> piešķiršanu, lai noteiktu, vai izraudzītais uzņēmums lielāko darbības daļu veic līgumslēdzējai iestādei</w:t>
      </w:r>
      <w:r w:rsidR="000B0CBB">
        <w:t xml:space="preserve"> (</w:t>
      </w:r>
      <w:r w:rsidRPr="001F6046">
        <w:t>pašvaldībām, kurām tajā ir kapitāldaļas un kuras to kontrolē</w:t>
      </w:r>
      <w:r w:rsidR="000B0CBB">
        <w:t>)</w:t>
      </w:r>
      <w:r w:rsidRPr="001F6046">
        <w:t>, šajā darbībā nav jāiekļauj arī tā</w:t>
      </w:r>
      <w:r w:rsidR="00A841D8">
        <w:t xml:space="preserve"> darbība</w:t>
      </w:r>
      <w:r w:rsidRPr="001F6046">
        <w:t>, kuru šim uzņēmumam liek darīt valsts iestāde, kurai tajā nav kapitāldaļu, par labu pašvaldībām, kurām arī nav kapitāldaļu minētajā uzņēmumā un kuras to nekādi nekontrolē, un šī pēdējā minētā darbība ir jāuzskata par tādu, kas veikta trešo personu labā.</w:t>
      </w:r>
      <w:r w:rsidR="00D96940">
        <w:rPr>
          <w:rStyle w:val="FootnoteReference"/>
        </w:rPr>
        <w:footnoteReference w:id="73"/>
      </w:r>
    </w:p>
    <w:p w14:paraId="6B8BC922" w14:textId="77777777" w:rsidR="00CF01A8" w:rsidRPr="00381475" w:rsidRDefault="00CF01A8" w:rsidP="00CF01A8">
      <w:pPr>
        <w:spacing w:after="0" w:line="240" w:lineRule="auto"/>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CF01A8" w:rsidRPr="00381475" w14:paraId="390C1D8C" w14:textId="77777777" w:rsidTr="006F5810">
        <w:tc>
          <w:tcPr>
            <w:tcW w:w="7932" w:type="dxa"/>
            <w:shd w:val="clear" w:color="auto" w:fill="F2F2F2" w:themeFill="background1" w:themeFillShade="F2"/>
          </w:tcPr>
          <w:p w14:paraId="46546169" w14:textId="4FBF162B" w:rsidR="006D0BF5" w:rsidRDefault="00CF01A8" w:rsidP="006D0BF5">
            <w:pPr>
              <w:ind w:firstLine="720"/>
              <w:jc w:val="both"/>
            </w:pPr>
            <w:r w:rsidRPr="00381475">
              <w:t xml:space="preserve">Lietā </w:t>
            </w:r>
            <w:r>
              <w:t xml:space="preserve">„ </w:t>
            </w:r>
            <w:r w:rsidRPr="00CF01A8">
              <w:t>Undis Servizi</w:t>
            </w:r>
            <w:r>
              <w:t xml:space="preserve">” </w:t>
            </w:r>
            <w:r w:rsidR="006D0BF5">
              <w:t xml:space="preserve">tika aplūkots gadījums, kurā </w:t>
            </w:r>
            <w:r w:rsidR="006D0BF5" w:rsidRPr="006D0BF5">
              <w:t xml:space="preserve">Sulmonas pašvaldības kopienas padome piešķīra integrētā sadzīves atkritumu cikla pārvaldības pakalpojumus </w:t>
            </w:r>
            <w:r w:rsidR="006D0BF5" w:rsidRPr="008203B5">
              <w:rPr>
                <w:i/>
              </w:rPr>
              <w:t>Cogesa</w:t>
            </w:r>
            <w:r w:rsidR="006D0BF5" w:rsidRPr="006D0BF5">
              <w:t xml:space="preserve"> – sabiedrībai ar pilnībā publisku kapitālu, kura turētājas ir vairākas </w:t>
            </w:r>
            <w:r w:rsidR="006D0BF5">
              <w:t xml:space="preserve">Abruco reģiona </w:t>
            </w:r>
            <w:r w:rsidR="006D0BF5" w:rsidRPr="006D0BF5">
              <w:t>kopienas, tostarp Sulmonas kopiena. Pēdējai minētajai pieder 200 akcijas no kopumā 1200 akcijām, kas veido šīs sabiedrības kapitālu, proti, aptuveni 16,6% no šī kapitāla daļām.</w:t>
            </w:r>
          </w:p>
          <w:p w14:paraId="5555AE7D" w14:textId="53F735D3" w:rsidR="00CF01A8" w:rsidRDefault="007B76F9" w:rsidP="007B76F9">
            <w:pPr>
              <w:ind w:firstLine="720"/>
              <w:jc w:val="both"/>
            </w:pPr>
            <w:r>
              <w:t>L</w:t>
            </w:r>
            <w:r w:rsidRPr="007B76F9">
              <w:t xml:space="preserve">ai gan pakalpojumu publiskais iepirkums ar </w:t>
            </w:r>
            <w:r w:rsidRPr="008203B5">
              <w:rPr>
                <w:i/>
              </w:rPr>
              <w:t>Cogesa</w:t>
            </w:r>
            <w:r w:rsidRPr="007B76F9">
              <w:t xml:space="preserve"> vēl nebija noslēgts, pašvaldības, kurām ir kapitāldaļas tajā, noslēdza vienošanos, lai šo uzņēmumu kopīgi kontrolētu tāpat,</w:t>
            </w:r>
            <w:r>
              <w:t xml:space="preserve"> kā tā kontrolē savus dienestus. </w:t>
            </w:r>
            <w:r w:rsidR="0042766A">
              <w:t>Tālāk a</w:t>
            </w:r>
            <w:r w:rsidR="0042766A" w:rsidRPr="0042766A">
              <w:t xml:space="preserve">r integrēto vides atļauju Abruco reģions noteica par pienākumu </w:t>
            </w:r>
            <w:r w:rsidR="0042766A" w:rsidRPr="008203B5">
              <w:rPr>
                <w:i/>
              </w:rPr>
              <w:t>Cogesa</w:t>
            </w:r>
            <w:r w:rsidR="0042766A" w:rsidRPr="0042766A">
              <w:t>, ievērojot pašpietiekamības, tuvuma un subsidiaritātes principus, apstrādāt un apsaimniekot atsevišķu šī reģiona kopienu, kurām nav kapitāldaļu šajā sabiedrībā, sadzīves atkritumus.</w:t>
            </w:r>
          </w:p>
          <w:p w14:paraId="7577E932" w14:textId="7A597352" w:rsidR="0042766A" w:rsidRDefault="00715785" w:rsidP="00715785">
            <w:pPr>
              <w:ind w:firstLine="720"/>
              <w:jc w:val="both"/>
            </w:pPr>
            <w:r w:rsidRPr="008203B5">
              <w:rPr>
                <w:i/>
              </w:rPr>
              <w:t>Undis</w:t>
            </w:r>
            <w:r>
              <w:t xml:space="preserve"> – </w:t>
            </w:r>
            <w:r w:rsidRPr="00715785">
              <w:t xml:space="preserve">sabiedrība, kura interesējās par lietā aplūkoto pakalpojumu publisko iepirkumu, cēla </w:t>
            </w:r>
            <w:r>
              <w:t xml:space="preserve">tiesā </w:t>
            </w:r>
            <w:r w:rsidRPr="00715785">
              <w:t>prasību par lēmumu par šī pakalpojumu publiskā iepirkuma līguma slēgšanas tiesību piešķiršanu</w:t>
            </w:r>
            <w:r>
              <w:t xml:space="preserve"> </w:t>
            </w:r>
            <w:r w:rsidR="0059326D" w:rsidRPr="008203B5">
              <w:rPr>
                <w:i/>
              </w:rPr>
              <w:t>Cogesa</w:t>
            </w:r>
            <w:r w:rsidR="0059326D">
              <w:t xml:space="preserve">. </w:t>
            </w:r>
            <w:r w:rsidR="00AE1825" w:rsidRPr="008203B5">
              <w:rPr>
                <w:i/>
              </w:rPr>
              <w:t>Undis</w:t>
            </w:r>
            <w:r w:rsidR="00AE1825">
              <w:t xml:space="preserve"> lietā norādīja, ka </w:t>
            </w:r>
            <w:r w:rsidR="00AE1825" w:rsidRPr="00AE1825">
              <w:t xml:space="preserve">neesot izpildīts nosacījums par to, lai līguma slēgšanas tiesību ieguvējs lielāko daļu savu darbību veiktu kopā ar šo līgumslēdzēja iestādi vai iestādēm, kas ir tā turētājas. </w:t>
            </w:r>
            <w:r w:rsidR="00AE1825" w:rsidRPr="008203B5">
              <w:rPr>
                <w:i/>
              </w:rPr>
              <w:t>Undis</w:t>
            </w:r>
            <w:r w:rsidR="00AE1825" w:rsidRPr="00AE1825">
              <w:t xml:space="preserve"> </w:t>
            </w:r>
            <w:r w:rsidR="003C2EF1">
              <w:t xml:space="preserve">uzsvēra, ka </w:t>
            </w:r>
            <w:r w:rsidR="005F751F" w:rsidRPr="008203B5">
              <w:rPr>
                <w:i/>
              </w:rPr>
              <w:t>Cogesa</w:t>
            </w:r>
            <w:r w:rsidR="005F751F">
              <w:t xml:space="preserve"> 2011., 2012. un 2013.</w:t>
            </w:r>
            <w:r w:rsidR="00AE1825" w:rsidRPr="00AE1825">
              <w:t>gada finanšu bilances pier</w:t>
            </w:r>
            <w:r w:rsidR="005F751F">
              <w:t>āda, ka tā tikai 50</w:t>
            </w:r>
            <w:r w:rsidR="00AE1825" w:rsidRPr="00AE1825">
              <w:t>% no kopējās darbības veic ar paš</w:t>
            </w:r>
            <w:r w:rsidR="000B686C">
              <w:t xml:space="preserve">valdībām, kurām ir kapitāldaļas. </w:t>
            </w:r>
            <w:r w:rsidR="0024074C">
              <w:t>Š</w:t>
            </w:r>
            <w:r w:rsidR="00AE1825" w:rsidRPr="00AE1825">
              <w:t xml:space="preserve">īs sabiedrības veiktā darbība to pašvaldību labā, kurām nav kapitāldaļu, </w:t>
            </w:r>
            <w:r w:rsidR="00AE1825" w:rsidRPr="00376659">
              <w:t>ir</w:t>
            </w:r>
            <w:r w:rsidR="00AE1825" w:rsidRPr="00AE1825">
              <w:t xml:space="preserve"> jāiekļauj</w:t>
            </w:r>
            <w:r w:rsidR="00376659">
              <w:t xml:space="preserve"> uzņēmuma „ārējā darbībā”</w:t>
            </w:r>
            <w:r w:rsidR="00AE1825" w:rsidRPr="00AE1825">
              <w:t>.</w:t>
            </w:r>
          </w:p>
          <w:p w14:paraId="6CB00DBE" w14:textId="0C1E232A" w:rsidR="007B76F9" w:rsidRPr="00381475" w:rsidRDefault="00DA4F16" w:rsidP="008C4E73">
            <w:pPr>
              <w:ind w:firstLine="720"/>
              <w:jc w:val="both"/>
            </w:pPr>
            <w:r>
              <w:t>Eiropas Savienības Tiesa lietā atzina, ka</w:t>
            </w:r>
            <w:r w:rsidR="008C4E73">
              <w:t xml:space="preserve"> uzņēmuma „lielākajā darbībā” neiekļauj</w:t>
            </w:r>
            <w:r w:rsidR="008C4E73" w:rsidRPr="001F6046">
              <w:t xml:space="preserve"> </w:t>
            </w:r>
            <w:r w:rsidR="008C4E73">
              <w:t>tās darbības</w:t>
            </w:r>
            <w:r w:rsidR="008C4E73" w:rsidRPr="001F6046">
              <w:t>, kuru šim uzņēmumam liek darīt valsts iestāde, kurai tajā nav kapitāldaļu, par labu pašvaldībām, kurām arī nav kapitāldaļu minētajā uzņēmumā un kuras to nekādi nekontrolē</w:t>
            </w:r>
            <w:r w:rsidR="008C4E73">
              <w:t>.</w:t>
            </w:r>
            <w:r w:rsidR="004A55EC">
              <w:rPr>
                <w:rStyle w:val="FootnoteReference"/>
              </w:rPr>
              <w:footnoteReference w:id="74"/>
            </w:r>
            <w:r w:rsidR="008C4E73">
              <w:t xml:space="preserve"> </w:t>
            </w:r>
          </w:p>
        </w:tc>
      </w:tr>
    </w:tbl>
    <w:p w14:paraId="20D65083" w14:textId="77777777" w:rsidR="00CF01A8" w:rsidRDefault="00CF01A8" w:rsidP="00CF01A8">
      <w:pPr>
        <w:spacing w:after="0"/>
        <w:ind w:firstLine="567"/>
        <w:jc w:val="both"/>
      </w:pPr>
    </w:p>
    <w:p w14:paraId="6E92D5EE" w14:textId="77777777" w:rsidR="006C60AF" w:rsidRDefault="006C60AF" w:rsidP="00CB7F44">
      <w:pPr>
        <w:spacing w:after="0"/>
        <w:ind w:firstLine="567"/>
        <w:jc w:val="both"/>
        <w:rPr>
          <w:b/>
        </w:rPr>
      </w:pPr>
    </w:p>
    <w:p w14:paraId="1226018D" w14:textId="77777777" w:rsidR="006C60AF" w:rsidRDefault="006C60AF" w:rsidP="00CB7F44">
      <w:pPr>
        <w:spacing w:after="0"/>
        <w:ind w:firstLine="567"/>
        <w:jc w:val="both"/>
        <w:rPr>
          <w:b/>
        </w:rPr>
      </w:pPr>
    </w:p>
    <w:p w14:paraId="7169CAE3" w14:textId="5FDCC9F0" w:rsidR="00FD0ED2" w:rsidRPr="002240B7" w:rsidRDefault="00FD0ED2" w:rsidP="00CB7F44">
      <w:pPr>
        <w:spacing w:after="0"/>
        <w:ind w:firstLine="567"/>
        <w:jc w:val="both"/>
        <w:rPr>
          <w:b/>
        </w:rPr>
      </w:pPr>
      <w:r w:rsidRPr="002240B7">
        <w:rPr>
          <w:b/>
        </w:rPr>
        <w:lastRenderedPageBreak/>
        <w:t>4) </w:t>
      </w:r>
      <w:r w:rsidR="00A6370B" w:rsidRPr="002240B7">
        <w:rPr>
          <w:b/>
        </w:rPr>
        <w:t xml:space="preserve">Prasības darboties galvenokārt iestādes labā mērķis </w:t>
      </w:r>
    </w:p>
    <w:p w14:paraId="66C65BCA" w14:textId="045D6ABF" w:rsidR="00E33805" w:rsidRPr="00CB7F44" w:rsidRDefault="007F4DB7" w:rsidP="00CB7F44">
      <w:pPr>
        <w:spacing w:after="0"/>
        <w:ind w:firstLine="567"/>
        <w:jc w:val="both"/>
      </w:pPr>
      <w:r w:rsidRPr="007F4DB7">
        <w:t xml:space="preserve">Prasības, ka attiecīgajai personai lielākā darbības daļa ir jāveic tās iestādes vai iestāžu, kuras ir tās kapitāldaļu turētājas, labā, mērķis it īpaši ir nodrošināt, lai Direktīva 2004/18 būtu piemērojama arī tajos gadījumos, kad uzņēmums, kuru kontrolē viena vai vairākas iestādes, darbojas tirgū un ir konkurētspējīgs ar citiem uzņēmumiem. Faktiski nav teikts, ka uzņēmumam tiktu liegta rīcības brīvība tikai tādēļ, ka lēmumus, kuri to skar, kontrolē pašvaldība vai pašvaldības, kurām pieder tā kapitāldaļas, ja vien šis uzņēmums joprojām var veikt būtisku daļu savas saimnieciskās darbības ar citiem tirgus dalībniekiem. Turpretī, ja šī uzņēmuma pakalpojumi būtībā ir orientēti tikai uz šo vienu pašvaldību vai pašvaldībām, </w:t>
      </w:r>
      <w:r w:rsidR="00444222">
        <w:t>ir</w:t>
      </w:r>
      <w:r w:rsidRPr="007F4DB7">
        <w:t xml:space="preserve"> attaisnojami, ka šim uzņēmumam nepiemēro Direktīvā 2004/18 noteiktos ierobežojumus, jo tos piemērot prasa nepieciešamība saglabāt konkurenci, kas vairs nav attiecināms uz šo gadījumu</w:t>
      </w:r>
      <w:r w:rsidR="00444222">
        <w:t>.</w:t>
      </w:r>
      <w:r w:rsidR="00444222">
        <w:rPr>
          <w:rStyle w:val="FootnoteReference"/>
        </w:rPr>
        <w:footnoteReference w:id="75"/>
      </w:r>
      <w:r w:rsidRPr="007F4DB7">
        <w:t xml:space="preserve"> </w:t>
      </w:r>
    </w:p>
    <w:p w14:paraId="16E21A62" w14:textId="77777777" w:rsidR="0068644E" w:rsidRDefault="0068644E">
      <w:pPr>
        <w:spacing w:after="160" w:line="259" w:lineRule="auto"/>
      </w:pPr>
    </w:p>
    <w:p w14:paraId="01D847B9" w14:textId="62343F91" w:rsidR="004F2580" w:rsidRDefault="006F1DBA" w:rsidP="00C37CE6">
      <w:pPr>
        <w:spacing w:after="0"/>
        <w:ind w:firstLine="567"/>
        <w:jc w:val="both"/>
        <w:rPr>
          <w:b/>
        </w:rPr>
      </w:pPr>
      <w:r>
        <w:rPr>
          <w:b/>
        </w:rPr>
        <w:t xml:space="preserve">Pašvaldības publisko funkciju </w:t>
      </w:r>
      <w:r w:rsidRPr="006F1DBA">
        <w:rPr>
          <w:b/>
        </w:rPr>
        <w:t>de</w:t>
      </w:r>
      <w:r>
        <w:rPr>
          <w:b/>
        </w:rPr>
        <w:t>leģēšana citam</w:t>
      </w:r>
      <w:r w:rsidR="00E919EA">
        <w:rPr>
          <w:b/>
        </w:rPr>
        <w:t xml:space="preserve"> autonomam </w:t>
      </w:r>
      <w:r w:rsidR="004F2580">
        <w:rPr>
          <w:b/>
        </w:rPr>
        <w:t>publisko tiesību subjektam</w:t>
      </w:r>
    </w:p>
    <w:p w14:paraId="0E980317" w14:textId="77777777" w:rsidR="004F2580" w:rsidRDefault="004F2580" w:rsidP="00C37CE6">
      <w:pPr>
        <w:spacing w:after="0"/>
        <w:ind w:firstLine="567"/>
        <w:jc w:val="both"/>
        <w:rPr>
          <w:b/>
        </w:rPr>
      </w:pPr>
    </w:p>
    <w:p w14:paraId="02E25DC8" w14:textId="0C5F9667" w:rsidR="00305101" w:rsidRPr="00357B75" w:rsidRDefault="00357B75" w:rsidP="00357B75">
      <w:pPr>
        <w:spacing w:after="0"/>
        <w:ind w:firstLine="567"/>
        <w:jc w:val="both"/>
        <w:rPr>
          <w:b/>
        </w:rPr>
      </w:pPr>
      <w:r>
        <w:rPr>
          <w:b/>
        </w:rPr>
        <w:t>1) </w:t>
      </w:r>
      <w:r w:rsidR="00305101" w:rsidRPr="00357B75">
        <w:rPr>
          <w:b/>
        </w:rPr>
        <w:t>Jēdzien</w:t>
      </w:r>
      <w:r w:rsidR="00FB3B03" w:rsidRPr="00357B75">
        <w:rPr>
          <w:b/>
        </w:rPr>
        <w:t>s</w:t>
      </w:r>
      <w:r w:rsidR="00305101" w:rsidRPr="00357B75">
        <w:rPr>
          <w:b/>
        </w:rPr>
        <w:t xml:space="preserve"> „valsts līgums”</w:t>
      </w:r>
    </w:p>
    <w:p w14:paraId="300A6C47" w14:textId="77777777" w:rsidR="005F5850" w:rsidRDefault="000147DB" w:rsidP="00C37CE6">
      <w:pPr>
        <w:spacing w:after="0"/>
        <w:ind w:firstLine="567"/>
        <w:jc w:val="both"/>
      </w:pPr>
      <w:r w:rsidRPr="0050220C">
        <w:t xml:space="preserve">Saskaņā ar </w:t>
      </w:r>
      <w:r w:rsidR="0050220C">
        <w:t>Direktīvas 2004/18</w:t>
      </w:r>
      <w:r w:rsidR="00C37CE6" w:rsidRPr="0050220C">
        <w:t xml:space="preserve"> </w:t>
      </w:r>
      <w:r w:rsidR="0050220C">
        <w:t>1.</w:t>
      </w:r>
      <w:r w:rsidR="0050220C" w:rsidRPr="0050220C">
        <w:t xml:space="preserve">panta 2.punkta </w:t>
      </w:r>
      <w:r w:rsidR="0050220C">
        <w:t>„</w:t>
      </w:r>
      <w:r w:rsidR="0050220C" w:rsidRPr="0050220C">
        <w:t>a</w:t>
      </w:r>
      <w:r w:rsidR="0050220C">
        <w:t>”</w:t>
      </w:r>
      <w:r w:rsidR="0050220C" w:rsidRPr="0050220C">
        <w:t xml:space="preserve"> apakšpunktu valsts līgums ir finansiāls līgums, ko rakstveidā savstarpēji noslēdz viens vai vairāki komersanti un viena vai vairākas līgumslēdzējas iestādes un kura mērķis ir būvdarbu realizācija, produkcijas piegāde vai pakalpojumu sniegšana šīs direktīvas izpratnē.</w:t>
      </w:r>
      <w:r w:rsidR="0050220C">
        <w:t xml:space="preserve"> </w:t>
      </w:r>
      <w:r w:rsidR="000F27B5" w:rsidRPr="000F27B5">
        <w:t>Lai atbilstoši šai definīcijai par publisku līgumu iespējami varētu tikt kvalificēta operācija, kas sastāv no vairākiem posmiem, šī operācija ir jāizvērtē kopumā, ņemot vērā tās mērķi</w:t>
      </w:r>
      <w:r w:rsidR="000F27B5">
        <w:t>.</w:t>
      </w:r>
      <w:r w:rsidR="000F27B5">
        <w:rPr>
          <w:rStyle w:val="FootnoteReference"/>
        </w:rPr>
        <w:footnoteReference w:id="76"/>
      </w:r>
      <w:r w:rsidR="00EE49DE">
        <w:t xml:space="preserve"> </w:t>
      </w:r>
    </w:p>
    <w:p w14:paraId="64306D1A" w14:textId="284BB32F" w:rsidR="00C37CE6" w:rsidRDefault="00EE49DE" w:rsidP="00C37CE6">
      <w:pPr>
        <w:spacing w:after="0"/>
        <w:ind w:firstLine="567"/>
        <w:jc w:val="both"/>
      </w:pPr>
      <w:r>
        <w:t>T</w:t>
      </w:r>
      <w:r w:rsidRPr="00EE49DE">
        <w:t>ikai finansiāls līgums var būt publisks līgums, uz ko attiecas Direktīva 2004/18, un tas, ka tas ir finansiāls, nozīmē, ka līgumslēdzēja iestāde, kas noslēdz publisko līgumu, atbilstoši šim līgumam par samaksu saņem sniegumu, kam ir jāsniedz tieša ekonomiskā interese šai līgumslēdzējai iestādei. Šis līguma divpusējais raksturs tātad ir būtiska publiskā līguma iezīme.</w:t>
      </w:r>
      <w:r w:rsidR="0047301F">
        <w:rPr>
          <w:rStyle w:val="FootnoteReference"/>
        </w:rPr>
        <w:footnoteReference w:id="77"/>
      </w:r>
    </w:p>
    <w:p w14:paraId="6237778B" w14:textId="77777777" w:rsidR="006467E1" w:rsidRDefault="006467E1" w:rsidP="00C37CE6">
      <w:pPr>
        <w:spacing w:after="0"/>
        <w:ind w:firstLine="567"/>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C72B3B" w:rsidRPr="00381475" w14:paraId="1BC7ADC9" w14:textId="77777777" w:rsidTr="006F5810">
        <w:tc>
          <w:tcPr>
            <w:tcW w:w="7932" w:type="dxa"/>
            <w:shd w:val="clear" w:color="auto" w:fill="F2F2F2" w:themeFill="background1" w:themeFillShade="F2"/>
          </w:tcPr>
          <w:p w14:paraId="0F26C155" w14:textId="5E109CF4" w:rsidR="00D23A76" w:rsidRDefault="00C72B3B" w:rsidP="003B15F6">
            <w:pPr>
              <w:ind w:firstLine="720"/>
              <w:jc w:val="both"/>
            </w:pPr>
            <w:r w:rsidRPr="00381475">
              <w:t xml:space="preserve">Lietā </w:t>
            </w:r>
            <w:r>
              <w:t>„</w:t>
            </w:r>
            <w:r w:rsidR="0067499C" w:rsidRPr="0067499C">
              <w:t>Remondis</w:t>
            </w:r>
            <w:r>
              <w:t>”</w:t>
            </w:r>
            <w:r w:rsidR="0067499C">
              <w:t xml:space="preserve"> </w:t>
            </w:r>
            <w:r w:rsidR="00464541">
              <w:t>Hannoveres apgabals un Hannoveres pilsēta nolēma kopā ar reglamentējošu aktu izveidot jaunu publisko tiesību subjektu, lai tam piešķirtu atseviš</w:t>
            </w:r>
            <w:r w:rsidR="00F615A8">
              <w:t xml:space="preserve">ķas savas pilnvaras – atkritumu apsaimniekošanu, autoceļu tīrīšanu un apkalpošanu. </w:t>
            </w:r>
            <w:r w:rsidR="00D439B5">
              <w:t>Pašvaldības šim subjektam cedēja 94,9% daļu no pašvaldībām piederoš</w:t>
            </w:r>
            <w:r w:rsidR="008E6941">
              <w:t>a</w:t>
            </w:r>
            <w:r w:rsidR="00D439B5">
              <w:t xml:space="preserve">s sabiedrības, kas līdz šim </w:t>
            </w:r>
            <w:r w:rsidR="001008AF">
              <w:t xml:space="preserve">nodrošināja atkritumu apsaimniekošanu. </w:t>
            </w:r>
            <w:r w:rsidR="003B15F6">
              <w:t xml:space="preserve">Šo tiesību subjektu pārvaldīja pašvaldības administrācijas pārstāvji. </w:t>
            </w:r>
            <w:r w:rsidR="00DB653A">
              <w:t xml:space="preserve">Tiesību subjekts </w:t>
            </w:r>
            <w:r w:rsidR="00997122">
              <w:t xml:space="preserve">tika pilnvarots pieņemt noteikumus, tostarp noteikt maksu par pakalpojumu sniegšanu, tā </w:t>
            </w:r>
            <w:r w:rsidR="002F7813">
              <w:t xml:space="preserve">izdevumus varēja segt no minēto </w:t>
            </w:r>
            <w:r w:rsidR="002F7813">
              <w:lastRenderedPageBreak/>
              <w:t xml:space="preserve">pašvaldību </w:t>
            </w:r>
            <w:r w:rsidR="008E6941">
              <w:t>budžeta līdzekļiem</w:t>
            </w:r>
            <w:r w:rsidR="002F7813">
              <w:t xml:space="preserve">. </w:t>
            </w:r>
          </w:p>
          <w:p w14:paraId="7C1DDDDC" w14:textId="3F27E9B2" w:rsidR="00F615A8" w:rsidRDefault="00D23A76" w:rsidP="003B15F6">
            <w:pPr>
              <w:ind w:firstLine="720"/>
              <w:jc w:val="both"/>
            </w:pPr>
            <w:r w:rsidRPr="00D23A76">
              <w:rPr>
                <w:i/>
              </w:rPr>
              <w:t>Remondis</w:t>
            </w:r>
            <w:r w:rsidR="005C6124">
              <w:rPr>
                <w:i/>
              </w:rPr>
              <w:t xml:space="preserve"> </w:t>
            </w:r>
            <w:r w:rsidR="009B2F62">
              <w:t xml:space="preserve">nacionālajā </w:t>
            </w:r>
            <w:r w:rsidR="005C6124">
              <w:t xml:space="preserve">tiesā izvirzīja argumentu, ka </w:t>
            </w:r>
            <w:r>
              <w:t>ar iepriekš aprakstītajām darbīb</w:t>
            </w:r>
            <w:r w:rsidR="00210D1B">
              <w:t xml:space="preserve">ām </w:t>
            </w:r>
            <w:r w:rsidR="001142B0">
              <w:t xml:space="preserve">minētajam tiesību subjektam ir nepamatoti nodots valsts līgums bez publiskā </w:t>
            </w:r>
            <w:r w:rsidR="00A6720B">
              <w:t xml:space="preserve">iepirkuma procedūras rīkošanas. </w:t>
            </w:r>
          </w:p>
          <w:p w14:paraId="544FFDC7" w14:textId="31B22F61" w:rsidR="0039248D" w:rsidRPr="00D23A76" w:rsidRDefault="0039248D" w:rsidP="00F66C6F">
            <w:pPr>
              <w:ind w:firstLine="720"/>
              <w:jc w:val="both"/>
            </w:pPr>
            <w:r>
              <w:t>Eiropas Savienības Tiesa</w:t>
            </w:r>
            <w:r w:rsidR="009B2F62">
              <w:t>, sniedzot prejudiciālu nolēmumu,</w:t>
            </w:r>
            <w:r>
              <w:t xml:space="preserve"> </w:t>
            </w:r>
            <w:r w:rsidR="00F66C6F">
              <w:t>nepiekrita, ka šāda</w:t>
            </w:r>
            <w:r>
              <w:t xml:space="preserve"> publisko fu</w:t>
            </w:r>
            <w:r w:rsidR="00F66C6F">
              <w:t xml:space="preserve">nkciju deleģēšana būtu uzskatāma </w:t>
            </w:r>
            <w:r>
              <w:t>par valsts līguma piešķiršanu bez publiskā iepirkuma rīkošanas.</w:t>
            </w:r>
            <w:r w:rsidR="00CE3F33">
              <w:rPr>
                <w:rStyle w:val="FootnoteReference"/>
              </w:rPr>
              <w:footnoteReference w:id="78"/>
            </w:r>
          </w:p>
        </w:tc>
      </w:tr>
    </w:tbl>
    <w:p w14:paraId="391AC4B9" w14:textId="77777777" w:rsidR="00C72B3B" w:rsidRDefault="00C72B3B" w:rsidP="00C37CE6">
      <w:pPr>
        <w:spacing w:after="0"/>
        <w:ind w:firstLine="567"/>
        <w:jc w:val="both"/>
      </w:pPr>
    </w:p>
    <w:p w14:paraId="4F8E5772" w14:textId="3216E165" w:rsidR="006467E1" w:rsidRPr="00407A9C" w:rsidRDefault="00B32905" w:rsidP="00C37CE6">
      <w:pPr>
        <w:spacing w:after="0"/>
        <w:ind w:firstLine="567"/>
        <w:jc w:val="both"/>
        <w:rPr>
          <w:b/>
        </w:rPr>
      </w:pPr>
      <w:r w:rsidRPr="00407A9C">
        <w:rPr>
          <w:b/>
        </w:rPr>
        <w:t>2) </w:t>
      </w:r>
      <w:r w:rsidR="00F7070B" w:rsidRPr="00407A9C">
        <w:rPr>
          <w:b/>
        </w:rPr>
        <w:t>Dalībvalsts nacionālā identitātes ievērošana</w:t>
      </w:r>
    </w:p>
    <w:p w14:paraId="01B5B077" w14:textId="2B9BAF41" w:rsidR="00BA1A5C" w:rsidRDefault="00C9560F" w:rsidP="008D31EC">
      <w:pPr>
        <w:spacing w:after="0"/>
        <w:ind w:firstLine="567"/>
        <w:jc w:val="both"/>
      </w:pPr>
      <w:r>
        <w:t xml:space="preserve">Kompetenču sadalījums dalībvalsts iekšienē ir aizsargāts </w:t>
      </w:r>
      <w:r w:rsidR="00AA3633">
        <w:t>LES</w:t>
      </w:r>
      <w:r w:rsidR="008D31EC">
        <w:t xml:space="preserve"> </w:t>
      </w:r>
      <w:r>
        <w:t>4.panta 2.punktā, kurā noteikts, ka Eiropas Savienībai ir jārespektē dalībvalstu nacionālā identitāte, kas raksturīga to politiskajām un konstitucionālajām pamatstruktūrām, tostarp reģionālajām un vietējām pašvaldībām.</w:t>
      </w:r>
      <w:r>
        <w:rPr>
          <w:rStyle w:val="FootnoteReference"/>
        </w:rPr>
        <w:footnoteReference w:id="79"/>
      </w:r>
      <w:r w:rsidR="008D31EC">
        <w:t xml:space="preserve"> </w:t>
      </w:r>
      <w:r>
        <w:t xml:space="preserve">Turklāt, tā kā šī kompetenču sadale </w:t>
      </w:r>
      <w:r w:rsidR="008D31EC">
        <w:t xml:space="preserve">nav stingri noteikta, ar LES 4.panta 2.punktu noteiktā aizsardzība </w:t>
      </w:r>
      <w:r>
        <w:t>attiecas arī uz pilnvaru reorganizāciju dalībvalsts iekšienē.</w:t>
      </w:r>
      <w:r w:rsidR="00957134">
        <w:rPr>
          <w:rStyle w:val="FootnoteReference"/>
        </w:rPr>
        <w:footnoteReference w:id="80"/>
      </w:r>
      <w:r>
        <w:t xml:space="preserve"> </w:t>
      </w:r>
    </w:p>
    <w:p w14:paraId="486E04C6" w14:textId="77777777" w:rsidR="00BA1A5C" w:rsidRDefault="00BA1A5C" w:rsidP="008D31EC">
      <w:pPr>
        <w:spacing w:after="0"/>
        <w:ind w:firstLine="567"/>
        <w:jc w:val="both"/>
      </w:pPr>
    </w:p>
    <w:p w14:paraId="3FB9EF0E" w14:textId="2EE5C1A0" w:rsidR="00BA1A5C" w:rsidRPr="00975E46" w:rsidRDefault="00BA1A5C" w:rsidP="008D31EC">
      <w:pPr>
        <w:spacing w:after="0"/>
        <w:ind w:firstLine="567"/>
        <w:jc w:val="both"/>
        <w:rPr>
          <w:b/>
        </w:rPr>
      </w:pPr>
      <w:r w:rsidRPr="00975E46">
        <w:rPr>
          <w:b/>
        </w:rPr>
        <w:t>3) </w:t>
      </w:r>
      <w:r w:rsidR="00A4685D" w:rsidRPr="00975E46">
        <w:rPr>
          <w:b/>
        </w:rPr>
        <w:t>Pašvaldības pilnvaru nodošana</w:t>
      </w:r>
      <w:r w:rsidR="00DC5032">
        <w:rPr>
          <w:b/>
        </w:rPr>
        <w:t xml:space="preserve">s ekonomiskais raksturs </w:t>
      </w:r>
    </w:p>
    <w:p w14:paraId="064CFFE0" w14:textId="2D11FD97" w:rsidR="00DB1F7B" w:rsidRDefault="00F22852" w:rsidP="00534171">
      <w:pPr>
        <w:spacing w:after="0"/>
        <w:ind w:firstLine="567"/>
        <w:jc w:val="both"/>
      </w:pPr>
      <w:r>
        <w:t>Pašvaldības</w:t>
      </w:r>
      <w:r w:rsidR="00C9560F">
        <w:t xml:space="preserve"> reorganizācija, kas var būt tādā formā kā pilnvaru pārdalīšana no vienas publisko tiesību iestādes otrai, ko ir noteikusi augstākstāvoša iestāde, vai kā brīvprātīga pilnvaru nodošana publisko tiesību iestāžu starpā, izraisa to, ka iestāde, kurai iepriekš ir bijušas pilnvaras, tiek atbrīvota vai atbrīvojas no pienākuma un tiesībām izpildīt attiecīgo sabiedrisko uzdevumu, bet otrai iestādei turpmāk ir šis pienākums un šīs tiesības.</w:t>
      </w:r>
      <w:r w:rsidR="008D31EC">
        <w:rPr>
          <w:rStyle w:val="FootnoteReference"/>
        </w:rPr>
        <w:footnoteReference w:id="81"/>
      </w:r>
      <w:r w:rsidR="00554AD5">
        <w:t xml:space="preserve"> </w:t>
      </w:r>
      <w:r w:rsidR="00DB1F7B">
        <w:t>Kā minēts iepriekš, lai līgumu uzskatītu par valsts līgumu</w:t>
      </w:r>
      <w:r w:rsidR="00964EC3">
        <w:t xml:space="preserve"> direktīvas izpratnē</w:t>
      </w:r>
      <w:r w:rsidR="00DB1F7B">
        <w:t>, tam jāpiemīt finansiālam raksturam – tam jāsniedz tieša ekonomiska interese arī līgumslēdzēj</w:t>
      </w:r>
      <w:r w:rsidR="00534171">
        <w:t xml:space="preserve">ai </w:t>
      </w:r>
      <w:r w:rsidR="00DB1F7B">
        <w:t>iestādei.</w:t>
      </w:r>
      <w:r w:rsidR="00CC0BCD">
        <w:t xml:space="preserve"> </w:t>
      </w:r>
      <w:r w:rsidR="00637434">
        <w:t>Tomēr a</w:t>
      </w:r>
      <w:r w:rsidR="00534171">
        <w:t xml:space="preserve">pstāklis, ka iestāde tiek atbrīvota no savām pilnvarām, </w:t>
      </w:r>
      <w:r w:rsidR="00D35C6A">
        <w:t xml:space="preserve">pats par sevi jau </w:t>
      </w:r>
      <w:r w:rsidR="00534171">
        <w:t xml:space="preserve">nozīmē, ka </w:t>
      </w:r>
      <w:r w:rsidR="00D35C6A">
        <w:t>iestāde negūs finansiālas priekšrocības</w:t>
      </w:r>
      <w:r w:rsidR="006311FA">
        <w:t xml:space="preserve"> no attiecīgo uzdevumu izpildes</w:t>
      </w:r>
      <w:r w:rsidR="00D35C6A">
        <w:t>.</w:t>
      </w:r>
      <w:r w:rsidR="00D35C6A">
        <w:rPr>
          <w:rStyle w:val="FootnoteReference"/>
        </w:rPr>
        <w:footnoteReference w:id="82"/>
      </w:r>
      <w:r w:rsidR="00DB1F7B">
        <w:t xml:space="preserve"> </w:t>
      </w:r>
    </w:p>
    <w:p w14:paraId="7FACC992" w14:textId="5B086E5E" w:rsidR="00D64EEF" w:rsidRDefault="00A87958" w:rsidP="00A87958">
      <w:pPr>
        <w:spacing w:after="0"/>
        <w:ind w:firstLine="567"/>
        <w:jc w:val="both"/>
      </w:pPr>
      <w:r>
        <w:t>Pilnvaru īstenošanai izmantoto līdzekļu pārdalīšana iestādei, kura zaudē pilnvaras, nododot tos iestādei, kura tās iegūst, nevar tikt uzskatīta par cenas samaksu, bet tieši otrādi – par loģiskām un pat obligātām sekām šo pilnvaru brīvprātīgai nodošanai vai obligātai pārdalei no vienas iestādes otrai. Tāpat par atlīdzību nav uzskatāms tas, ka iestāde, kas ierosina pilnvaru nodošanu vai kas izlemj pārdalīt pilnvaras, apņemas apmaksāt iespējamās izmaksas, kas pārsniegtu ieņēmumus, kas var izrietēt no šo pilnvaru īstenošanas. Proti, runa ir par garantiju, kas ir domāta trešām personām, kuras vajadzība šajā gadījumā izriet no principa, saskaņā ar kuru pret publisko tiesību iestādi nevar tikt vērsts maksātnespējas process. Tomēr tas, ka šāds princips pastāv, pats par sevi ir dalībvalsts iekšējs organizatorisks jautājums.</w:t>
      </w:r>
      <w:r w:rsidR="00144A56">
        <w:rPr>
          <w:rStyle w:val="FootnoteReference"/>
        </w:rPr>
        <w:footnoteReference w:id="83"/>
      </w:r>
    </w:p>
    <w:p w14:paraId="1BE2047B" w14:textId="77777777" w:rsidR="00A87958" w:rsidRDefault="00A87958" w:rsidP="00A87958">
      <w:pPr>
        <w:spacing w:after="0"/>
        <w:ind w:firstLine="567"/>
        <w:jc w:val="both"/>
      </w:pPr>
    </w:p>
    <w:p w14:paraId="70CED958" w14:textId="77777777" w:rsidR="0081678C" w:rsidRDefault="0081678C" w:rsidP="00A87958">
      <w:pPr>
        <w:spacing w:after="0"/>
        <w:ind w:firstLine="567"/>
        <w:jc w:val="both"/>
      </w:pPr>
    </w:p>
    <w:p w14:paraId="48D2A273" w14:textId="536E693C" w:rsidR="00A87958" w:rsidRPr="007E4372" w:rsidRDefault="00DC5032" w:rsidP="00A87958">
      <w:pPr>
        <w:spacing w:after="0"/>
        <w:ind w:firstLine="567"/>
        <w:jc w:val="both"/>
        <w:rPr>
          <w:b/>
        </w:rPr>
      </w:pPr>
      <w:r w:rsidRPr="007E4372">
        <w:rPr>
          <w:b/>
        </w:rPr>
        <w:t>4) </w:t>
      </w:r>
      <w:r w:rsidR="0019035D">
        <w:rPr>
          <w:b/>
        </w:rPr>
        <w:t>P</w:t>
      </w:r>
      <w:r w:rsidR="00FC514D" w:rsidRPr="007E4372">
        <w:rPr>
          <w:b/>
        </w:rPr>
        <w:t>ilnvaru nodo</w:t>
      </w:r>
      <w:r w:rsidR="0019035D">
        <w:rPr>
          <w:b/>
        </w:rPr>
        <w:t xml:space="preserve">šanas iekšējais </w:t>
      </w:r>
      <w:r w:rsidR="00FC514D" w:rsidRPr="007E4372">
        <w:rPr>
          <w:b/>
        </w:rPr>
        <w:t>organiz</w:t>
      </w:r>
      <w:r w:rsidR="0019035D">
        <w:rPr>
          <w:b/>
        </w:rPr>
        <w:t xml:space="preserve">atoriskais raksturs </w:t>
      </w:r>
    </w:p>
    <w:p w14:paraId="73411274" w14:textId="6312B964" w:rsidR="00FC514D" w:rsidRDefault="00CC31B0" w:rsidP="00A87958">
      <w:pPr>
        <w:spacing w:after="0"/>
        <w:ind w:firstLine="567"/>
        <w:jc w:val="both"/>
      </w:pPr>
      <w:r>
        <w:t>L</w:t>
      </w:r>
      <w:r w:rsidRPr="00CC31B0">
        <w:t>ai pilnvaru nodošana starp publisko tiesību iestādēm varētu tikt uzskatīta par iekšējās organizācijas aktu un l</w:t>
      </w:r>
      <w:r w:rsidR="00585432">
        <w:t>ai uz to tātad attiektos LES 4.panta 2.</w:t>
      </w:r>
      <w:r w:rsidRPr="00CC31B0">
        <w:t>punktā garantētā dalībvalstu brīvība, ir jāizpilda noteikti nosacījumi.</w:t>
      </w:r>
      <w:r w:rsidR="00300850">
        <w:t xml:space="preserve"> </w:t>
      </w:r>
      <w:r w:rsidR="00027758">
        <w:t>Proti, šai pilnvaru nodošanai ir jābūt patiesai jeb vērstai uz patiesu paredzēto pien</w:t>
      </w:r>
      <w:r w:rsidR="008152BD">
        <w:t>ākumu izpildi un</w:t>
      </w:r>
      <w:r w:rsidR="00027758">
        <w:t xml:space="preserve"> </w:t>
      </w:r>
      <w:r w:rsidR="008152BD">
        <w:t>tiesību subjektam ir jādarbojas autonomi.</w:t>
      </w:r>
      <w:r w:rsidR="00C30D9A">
        <w:rPr>
          <w:rStyle w:val="FootnoteReference"/>
        </w:rPr>
        <w:footnoteReference w:id="84"/>
      </w:r>
      <w:r w:rsidR="008152BD">
        <w:t xml:space="preserve"> </w:t>
      </w:r>
    </w:p>
    <w:p w14:paraId="072D3440" w14:textId="77777777" w:rsidR="008152BD" w:rsidRDefault="008152BD" w:rsidP="00A87958">
      <w:pPr>
        <w:spacing w:after="0"/>
        <w:ind w:firstLine="567"/>
        <w:jc w:val="both"/>
      </w:pPr>
    </w:p>
    <w:p w14:paraId="6C3A32EB" w14:textId="51E71948" w:rsidR="008152BD" w:rsidRPr="00BC4CEC" w:rsidRDefault="00B06306" w:rsidP="00A87958">
      <w:pPr>
        <w:spacing w:after="0"/>
        <w:ind w:firstLine="567"/>
        <w:jc w:val="both"/>
        <w:rPr>
          <w:b/>
        </w:rPr>
      </w:pPr>
      <w:r w:rsidRPr="00BC4CEC">
        <w:rPr>
          <w:b/>
        </w:rPr>
        <w:t>5) </w:t>
      </w:r>
      <w:r w:rsidR="00BC4CEC">
        <w:rPr>
          <w:b/>
        </w:rPr>
        <w:t>Deleģ</w:t>
      </w:r>
      <w:r w:rsidR="00C0636D">
        <w:rPr>
          <w:b/>
        </w:rPr>
        <w:t>ēto funkciju patiesa izpilde</w:t>
      </w:r>
    </w:p>
    <w:p w14:paraId="4F2B50B6" w14:textId="034517D7" w:rsidR="006352C6" w:rsidRDefault="006352C6" w:rsidP="00A87958">
      <w:pPr>
        <w:spacing w:after="0"/>
        <w:ind w:firstLine="567"/>
        <w:jc w:val="both"/>
      </w:pPr>
      <w:r>
        <w:t>L</w:t>
      </w:r>
      <w:r w:rsidRPr="006352C6">
        <w:t>ai pilnvaru nodošana būtu patiesa, tai ir jāattiecas ne tikai uz pienākumiem, kas ir saistīti ar nodotajām pilnvarām, tostarp pienākumu izpildīt uzdevumus, kas ir saistīti ar šīm pilnvarām, bet arī uz tām atbilstošajām tiesībām. Tas nozīmē, ka publisko tiesību iestādei, kurai tiek piešķirtas pilnvaras, ir jābūt tiesībām organizēt to uzdevumu izpildi, uz ko attiecas šīs pilnvaras, kā arī pieņemt reglamentējošus noteikumus, kas attiecas uz šiem uzdevumiem, un tai ir jābūt finansiāli patstāvīgai, lai varētu nodrošināt minēto uzdevumu izpildi. Turpretī tā tas nav gadījumā, ja sākotnēji kompetentā iestāde saglabā pamatatbildību saistībā ar šiem pašiem uzdevumiem, ja tā saglabā finanšu kontroli pār tiem vai ja tai iepriekš ir jāapstiprina lēmumi, ko plāno pieņemt subjekts, kurš tai palīdz.</w:t>
      </w:r>
      <w:r w:rsidR="00F855BF">
        <w:rPr>
          <w:rStyle w:val="FootnoteReference"/>
        </w:rPr>
        <w:footnoteReference w:id="85"/>
      </w:r>
    </w:p>
    <w:p w14:paraId="45F95878" w14:textId="77777777" w:rsidR="00F43BC9" w:rsidRDefault="00F43BC9" w:rsidP="00A87958">
      <w:pPr>
        <w:spacing w:after="0"/>
        <w:ind w:firstLine="567"/>
        <w:jc w:val="both"/>
      </w:pPr>
    </w:p>
    <w:p w14:paraId="09C3E08B" w14:textId="6A6583E1" w:rsidR="00F43BC9" w:rsidRPr="005C322B" w:rsidRDefault="00F43BC9" w:rsidP="00A87958">
      <w:pPr>
        <w:spacing w:after="0"/>
        <w:ind w:firstLine="567"/>
        <w:jc w:val="both"/>
        <w:rPr>
          <w:b/>
        </w:rPr>
      </w:pPr>
      <w:r w:rsidRPr="005C322B">
        <w:rPr>
          <w:b/>
        </w:rPr>
        <w:t>6) </w:t>
      </w:r>
      <w:r w:rsidR="005C322B" w:rsidRPr="005C322B">
        <w:rPr>
          <w:b/>
        </w:rPr>
        <w:t xml:space="preserve">Tiesību subjekta </w:t>
      </w:r>
      <w:r w:rsidR="007D36C3">
        <w:rPr>
          <w:b/>
        </w:rPr>
        <w:t xml:space="preserve">darbības </w:t>
      </w:r>
      <w:r w:rsidR="005C322B" w:rsidRPr="005C322B">
        <w:rPr>
          <w:b/>
        </w:rPr>
        <w:t>autonomais rak</w:t>
      </w:r>
      <w:r w:rsidR="007D36C3">
        <w:rPr>
          <w:b/>
        </w:rPr>
        <w:t>s</w:t>
      </w:r>
      <w:r w:rsidR="005C322B" w:rsidRPr="005C322B">
        <w:rPr>
          <w:b/>
        </w:rPr>
        <w:t>turs</w:t>
      </w:r>
    </w:p>
    <w:p w14:paraId="11B8391C" w14:textId="77777777" w:rsidR="0098727E" w:rsidRDefault="006352C6" w:rsidP="00970F90">
      <w:pPr>
        <w:spacing w:after="0"/>
        <w:ind w:firstLine="567"/>
        <w:jc w:val="both"/>
      </w:pPr>
      <w:r>
        <w:t>P</w:t>
      </w:r>
      <w:r w:rsidRPr="006352C6">
        <w:t>ilnvaru nodošana nepas</w:t>
      </w:r>
      <w:r w:rsidR="00970F90">
        <w:t>tāv</w:t>
      </w:r>
      <w:r w:rsidRPr="006352C6">
        <w:t>, ja publisko tiesību iestāde, kas ir jaunā kompetentā iestāde, šīs pilnvaras neīsteno autonomi un pati par to neatbild.</w:t>
      </w:r>
      <w:r w:rsidR="0098727E">
        <w:t xml:space="preserve"> Š</w:t>
      </w:r>
      <w:r w:rsidR="00970F90">
        <w:t>āda darbības autonomija nenozīmē, ka jauno kompetento subjektu vairs nedrīkst ietekmēt neviens cits publisko tiesību subjekts. Proti, subjekts, kurš nodod pilnvaras, var saglabāt zināmas tiesības saistībā ar uzdevumiem, kas ir saistīti ar šo sabiedrisko pakalpojumu. Tomēr šāda ietekme principā izslēdz jebkādu iejaukšanos konkrētajā uzdevumu, uz kuriem attiecas nodotās pilnvaras, izpildes kārtībā.</w:t>
      </w:r>
    </w:p>
    <w:p w14:paraId="676D068F" w14:textId="77777777" w:rsidR="008F3BB8" w:rsidRDefault="008F3BB8" w:rsidP="00970F90">
      <w:pPr>
        <w:spacing w:after="0"/>
        <w:ind w:firstLine="567"/>
        <w:jc w:val="both"/>
      </w:pPr>
    </w:p>
    <w:tbl>
      <w:tblPr>
        <w:tblStyle w:val="TableGrid"/>
        <w:tblW w:w="0" w:type="auto"/>
        <w:tblInd w:w="562" w:type="dxa"/>
        <w:shd w:val="clear" w:color="auto" w:fill="F2F2F2" w:themeFill="background1" w:themeFillShade="F2"/>
        <w:tblLook w:val="04A0" w:firstRow="1" w:lastRow="0" w:firstColumn="1" w:lastColumn="0" w:noHBand="0" w:noVBand="1"/>
      </w:tblPr>
      <w:tblGrid>
        <w:gridCol w:w="7932"/>
      </w:tblGrid>
      <w:tr w:rsidR="008F3BB8" w:rsidRPr="00381475" w14:paraId="108F3583" w14:textId="77777777" w:rsidTr="006F5810">
        <w:tc>
          <w:tcPr>
            <w:tcW w:w="7932" w:type="dxa"/>
            <w:shd w:val="clear" w:color="auto" w:fill="F2F2F2" w:themeFill="background1" w:themeFillShade="F2"/>
          </w:tcPr>
          <w:p w14:paraId="380E1D84" w14:textId="2A3DD0FA" w:rsidR="008F3BB8" w:rsidRPr="00D23A76" w:rsidRDefault="008F3BB8" w:rsidP="004363D7">
            <w:pPr>
              <w:ind w:firstLine="720"/>
              <w:jc w:val="both"/>
            </w:pPr>
            <w:r w:rsidRPr="00381475">
              <w:t xml:space="preserve">Lietā </w:t>
            </w:r>
            <w:r>
              <w:t>„</w:t>
            </w:r>
            <w:r w:rsidRPr="0067499C">
              <w:t>Remondis</w:t>
            </w:r>
            <w:r>
              <w:t xml:space="preserve">” </w:t>
            </w:r>
            <w:r w:rsidR="00986881">
              <w:t>ietekme uz jauno tiesību subjektu tika īstenota ar struktūrvienības</w:t>
            </w:r>
            <w:r w:rsidR="00532579">
              <w:t>,</w:t>
            </w:r>
            <w:r w:rsidR="00986881">
              <w:t xml:space="preserve"> </w:t>
            </w:r>
            <w:r w:rsidR="00532579">
              <w:t xml:space="preserve">ko veidoja pašvaldību pārstāvji, </w:t>
            </w:r>
            <w:r w:rsidR="00986881">
              <w:t>starpniecību</w:t>
            </w:r>
            <w:r w:rsidR="00532579">
              <w:t xml:space="preserve">. </w:t>
            </w:r>
            <w:r w:rsidR="00986881">
              <w:t xml:space="preserve">Šādu ietekmi Eiropas Savienības Tiesa atzina par pieļaujamu. </w:t>
            </w:r>
          </w:p>
        </w:tc>
      </w:tr>
    </w:tbl>
    <w:p w14:paraId="14F985C0" w14:textId="77777777" w:rsidR="00520539" w:rsidRDefault="00520539" w:rsidP="00970F90">
      <w:pPr>
        <w:spacing w:after="0"/>
        <w:ind w:firstLine="567"/>
        <w:jc w:val="both"/>
      </w:pPr>
    </w:p>
    <w:p w14:paraId="600CFC3D" w14:textId="7C130C0A" w:rsidR="00970F90" w:rsidRDefault="00970F90" w:rsidP="00970F90">
      <w:pPr>
        <w:spacing w:after="0"/>
        <w:ind w:firstLine="567"/>
        <w:jc w:val="both"/>
      </w:pPr>
      <w:r>
        <w:t xml:space="preserve">Darbības autonomija nenozīmē arī, ka pilnvaru obligātajai pārdalei vai brīvprātīgajai nodošanai ir jābūt neatgriezeniskai. </w:t>
      </w:r>
      <w:r w:rsidR="00520539">
        <w:t>Jebkurai reorganizācijai var sekot citas reorganizācijas. N</w:t>
      </w:r>
      <w:r>
        <w:t>av nekādu šķēršļu tam, lai nodotās vai pārdalītās pilnvaras sabiedrisko uzdevumu reorganizācijas ietvaros nevarētu vēlāk no jauna tikt nodotas vai pārdalītas saistībā ar nākamo reorganizāciju.</w:t>
      </w:r>
      <w:r w:rsidR="00671C43">
        <w:rPr>
          <w:rStyle w:val="FootnoteReference"/>
        </w:rPr>
        <w:footnoteReference w:id="86"/>
      </w:r>
    </w:p>
    <w:p w14:paraId="7165A4F4" w14:textId="4C352617" w:rsidR="00407240" w:rsidRDefault="00407240">
      <w:pPr>
        <w:spacing w:after="160" w:line="259" w:lineRule="auto"/>
      </w:pPr>
    </w:p>
    <w:p w14:paraId="7DBB6D1B" w14:textId="77777777" w:rsidR="00867B6E" w:rsidRDefault="00867B6E">
      <w:pPr>
        <w:spacing w:after="160" w:line="259" w:lineRule="auto"/>
        <w:rPr>
          <w:rFonts w:eastAsiaTheme="majorEastAsia" w:cstheme="majorBidi"/>
          <w:b/>
          <w:caps/>
          <w:sz w:val="28"/>
          <w:szCs w:val="26"/>
        </w:rPr>
      </w:pPr>
      <w:bookmarkStart w:id="17" w:name="_Toc486853979"/>
      <w:r>
        <w:br w:type="page"/>
      </w:r>
    </w:p>
    <w:p w14:paraId="1DD5FCF1" w14:textId="043844FE" w:rsidR="00E643CC" w:rsidRDefault="00E643CC" w:rsidP="00E643CC">
      <w:pPr>
        <w:pStyle w:val="Heading2"/>
        <w:numPr>
          <w:ilvl w:val="0"/>
          <w:numId w:val="0"/>
        </w:numPr>
        <w:ind w:left="360" w:hanging="360"/>
      </w:pPr>
      <w:bookmarkStart w:id="18" w:name="_Toc491088015"/>
      <w:r w:rsidRPr="00BF3E56">
        <w:lastRenderedPageBreak/>
        <w:t xml:space="preserve">Izmantoto </w:t>
      </w:r>
      <w:r>
        <w:t>nolēmumu saraksts</w:t>
      </w:r>
      <w:bookmarkEnd w:id="17"/>
      <w:bookmarkEnd w:id="18"/>
    </w:p>
    <w:p w14:paraId="4B6721F4" w14:textId="77777777" w:rsidR="003D2392" w:rsidRDefault="003D2392" w:rsidP="003D2392"/>
    <w:p w14:paraId="0BCA8E09" w14:textId="31E8A147" w:rsidR="002F6D4B" w:rsidRDefault="002F6D4B" w:rsidP="003E4FB3">
      <w:pPr>
        <w:pStyle w:val="FootnoteText"/>
        <w:spacing w:before="120" w:line="276" w:lineRule="auto"/>
        <w:jc w:val="both"/>
        <w:rPr>
          <w:sz w:val="24"/>
          <w:szCs w:val="24"/>
        </w:rPr>
      </w:pPr>
      <w:r>
        <w:rPr>
          <w:sz w:val="24"/>
          <w:szCs w:val="24"/>
        </w:rPr>
        <w:t xml:space="preserve">Eiropas Savienības Tiesas </w:t>
      </w:r>
      <w:r w:rsidRPr="002F6D4B">
        <w:rPr>
          <w:sz w:val="24"/>
          <w:szCs w:val="24"/>
        </w:rPr>
        <w:t xml:space="preserve">2017.gada 5.aprīļa spriedums lietā </w:t>
      </w:r>
      <w:r w:rsidRPr="002F6D4B">
        <w:rPr>
          <w:i/>
          <w:sz w:val="24"/>
          <w:szCs w:val="24"/>
        </w:rPr>
        <w:t>Borta</w:t>
      </w:r>
      <w:r w:rsidRPr="002F6D4B">
        <w:rPr>
          <w:sz w:val="24"/>
          <w:szCs w:val="24"/>
        </w:rPr>
        <w:t>, C-298/15, ECLI:EU:C:2017:266</w:t>
      </w:r>
    </w:p>
    <w:p w14:paraId="5F006BAE" w14:textId="021B402E"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2017.gada 5.aprīļa spriedums lietā </w:t>
      </w:r>
      <w:r w:rsidRPr="008D57A3">
        <w:rPr>
          <w:i/>
          <w:sz w:val="24"/>
          <w:szCs w:val="24"/>
        </w:rPr>
        <w:t>Marina del Mediterráneo</w:t>
      </w:r>
      <w:r w:rsidRPr="008D57A3">
        <w:rPr>
          <w:sz w:val="24"/>
          <w:szCs w:val="24"/>
        </w:rPr>
        <w:t>, C-391/15, ECLI:EU:C:2017:268</w:t>
      </w:r>
    </w:p>
    <w:p w14:paraId="6708725A" w14:textId="24A3BEE8" w:rsidR="00EB5313" w:rsidRDefault="00EB5313" w:rsidP="003E4FB3">
      <w:pPr>
        <w:pStyle w:val="FootnoteText"/>
        <w:spacing w:before="120" w:line="276" w:lineRule="auto"/>
        <w:jc w:val="both"/>
        <w:rPr>
          <w:sz w:val="24"/>
          <w:szCs w:val="24"/>
        </w:rPr>
      </w:pPr>
      <w:r w:rsidRPr="00EB5313">
        <w:rPr>
          <w:sz w:val="24"/>
          <w:szCs w:val="24"/>
        </w:rPr>
        <w:t xml:space="preserve">Eiropas Savienības Tiesas 2016.gada 21.decembra spriedums lietā </w:t>
      </w:r>
      <w:r w:rsidRPr="00EB5313">
        <w:rPr>
          <w:i/>
          <w:sz w:val="24"/>
          <w:szCs w:val="24"/>
        </w:rPr>
        <w:t>Technische Gebäudebetreuung and Caverion Österreich</w:t>
      </w:r>
      <w:r w:rsidRPr="00EB5313">
        <w:rPr>
          <w:sz w:val="24"/>
          <w:szCs w:val="24"/>
        </w:rPr>
        <w:t>, C-355/15, ECLI:EU:C:2016:988</w:t>
      </w:r>
    </w:p>
    <w:p w14:paraId="41E37CCF" w14:textId="46AE72DF" w:rsidR="003B3A30" w:rsidRDefault="003B3A30" w:rsidP="003E4FB3">
      <w:pPr>
        <w:pStyle w:val="FootnoteText"/>
        <w:spacing w:before="120" w:line="276" w:lineRule="auto"/>
        <w:jc w:val="both"/>
        <w:rPr>
          <w:sz w:val="24"/>
          <w:szCs w:val="24"/>
        </w:rPr>
      </w:pPr>
      <w:r>
        <w:rPr>
          <w:sz w:val="24"/>
          <w:szCs w:val="24"/>
        </w:rPr>
        <w:t xml:space="preserve">Eiropas Savienības Tiesas </w:t>
      </w:r>
      <w:r w:rsidRPr="003B3A30">
        <w:rPr>
          <w:sz w:val="24"/>
          <w:szCs w:val="24"/>
        </w:rPr>
        <w:t xml:space="preserve">2016.gada 21.decembra spriedums lietā </w:t>
      </w:r>
      <w:r w:rsidRPr="003B3A30">
        <w:rPr>
          <w:i/>
          <w:sz w:val="24"/>
          <w:szCs w:val="24"/>
        </w:rPr>
        <w:t>Remondis</w:t>
      </w:r>
      <w:r w:rsidRPr="003B3A30">
        <w:rPr>
          <w:sz w:val="24"/>
          <w:szCs w:val="24"/>
        </w:rPr>
        <w:t>, C-51/15, ECLI:EU:C:2016:985</w:t>
      </w:r>
    </w:p>
    <w:p w14:paraId="7F424E21" w14:textId="14DA1BC8" w:rsidR="00813B53" w:rsidRDefault="00813B53" w:rsidP="003E4FB3">
      <w:pPr>
        <w:pStyle w:val="FootnoteText"/>
        <w:spacing w:before="120" w:line="276" w:lineRule="auto"/>
        <w:jc w:val="both"/>
        <w:rPr>
          <w:sz w:val="24"/>
          <w:szCs w:val="24"/>
        </w:rPr>
      </w:pPr>
      <w:r>
        <w:rPr>
          <w:sz w:val="24"/>
          <w:szCs w:val="24"/>
        </w:rPr>
        <w:t xml:space="preserve">Eiropas Savienības Tiesas </w:t>
      </w:r>
      <w:r w:rsidRPr="00813B53">
        <w:rPr>
          <w:sz w:val="24"/>
          <w:szCs w:val="24"/>
        </w:rPr>
        <w:t xml:space="preserve">2016.gada 14.decembra spriedums lietā </w:t>
      </w:r>
      <w:r w:rsidRPr="00813B53">
        <w:rPr>
          <w:i/>
          <w:sz w:val="24"/>
          <w:szCs w:val="24"/>
        </w:rPr>
        <w:t>Connexxion Taxi Services</w:t>
      </w:r>
      <w:r w:rsidRPr="00813B53">
        <w:rPr>
          <w:sz w:val="24"/>
          <w:szCs w:val="24"/>
        </w:rPr>
        <w:t>, C-171/15, ECLI:EU:C:2016:948</w:t>
      </w:r>
    </w:p>
    <w:p w14:paraId="2874BBDD" w14:textId="33BE90E1" w:rsidR="00F07939" w:rsidRDefault="00F07939" w:rsidP="003E4FB3">
      <w:pPr>
        <w:pStyle w:val="FootnoteText"/>
        <w:spacing w:before="120" w:line="276" w:lineRule="auto"/>
        <w:jc w:val="both"/>
        <w:rPr>
          <w:sz w:val="24"/>
          <w:szCs w:val="24"/>
        </w:rPr>
      </w:pPr>
      <w:r>
        <w:rPr>
          <w:sz w:val="24"/>
          <w:szCs w:val="24"/>
        </w:rPr>
        <w:t xml:space="preserve">Eiropas Savienības Tiesas </w:t>
      </w:r>
      <w:r w:rsidRPr="00F07939">
        <w:rPr>
          <w:sz w:val="24"/>
          <w:szCs w:val="24"/>
        </w:rPr>
        <w:t xml:space="preserve">2016.gada 8.decembra spriedums lietā </w:t>
      </w:r>
      <w:r w:rsidRPr="00F07939">
        <w:rPr>
          <w:i/>
          <w:sz w:val="24"/>
          <w:szCs w:val="24"/>
        </w:rPr>
        <w:t>Undis Servizi</w:t>
      </w:r>
      <w:r w:rsidRPr="00F07939">
        <w:rPr>
          <w:sz w:val="24"/>
          <w:szCs w:val="24"/>
        </w:rPr>
        <w:t>, C-553/15, ECLI:EU:C:2016:935</w:t>
      </w:r>
    </w:p>
    <w:p w14:paraId="15450FC5" w14:textId="5B159AB7" w:rsidR="006F28C4" w:rsidRDefault="006F28C4" w:rsidP="003E4FB3">
      <w:pPr>
        <w:pStyle w:val="FootnoteText"/>
        <w:spacing w:before="120" w:line="276" w:lineRule="auto"/>
        <w:jc w:val="both"/>
        <w:rPr>
          <w:sz w:val="24"/>
          <w:szCs w:val="24"/>
        </w:rPr>
      </w:pPr>
      <w:r>
        <w:rPr>
          <w:sz w:val="24"/>
          <w:szCs w:val="24"/>
        </w:rPr>
        <w:t xml:space="preserve">Eiropas Savienības Tiesas </w:t>
      </w:r>
      <w:r w:rsidRPr="006F28C4">
        <w:rPr>
          <w:sz w:val="24"/>
          <w:szCs w:val="24"/>
        </w:rPr>
        <w:t xml:space="preserve">2016.gada 10.novembra spriedums lietā </w:t>
      </w:r>
      <w:r w:rsidRPr="006F28C4">
        <w:rPr>
          <w:i/>
          <w:sz w:val="24"/>
          <w:szCs w:val="24"/>
        </w:rPr>
        <w:t>Ciclat</w:t>
      </w:r>
      <w:r w:rsidRPr="006F28C4">
        <w:rPr>
          <w:sz w:val="24"/>
          <w:szCs w:val="24"/>
        </w:rPr>
        <w:t>, C‑199/15, ECLI:EU:C:2016:853</w:t>
      </w:r>
    </w:p>
    <w:p w14:paraId="794D24F4" w14:textId="5FDD924F" w:rsidR="008B23BF" w:rsidRDefault="008B23BF" w:rsidP="003E4FB3">
      <w:pPr>
        <w:pStyle w:val="FootnoteText"/>
        <w:spacing w:before="120" w:line="276" w:lineRule="auto"/>
        <w:jc w:val="both"/>
        <w:rPr>
          <w:sz w:val="24"/>
          <w:szCs w:val="24"/>
        </w:rPr>
      </w:pPr>
      <w:r w:rsidRPr="008B23BF">
        <w:rPr>
          <w:sz w:val="24"/>
          <w:szCs w:val="24"/>
        </w:rPr>
        <w:t>Eiropas Savienības Tiesas 2016.gada 27.oktobra spriedum</w:t>
      </w:r>
      <w:r>
        <w:rPr>
          <w:sz w:val="24"/>
          <w:szCs w:val="24"/>
        </w:rPr>
        <w:t>s</w:t>
      </w:r>
      <w:r w:rsidRPr="008B23BF">
        <w:rPr>
          <w:sz w:val="24"/>
          <w:szCs w:val="24"/>
        </w:rPr>
        <w:t xml:space="preserve"> lietā </w:t>
      </w:r>
      <w:r w:rsidRPr="008B23BF">
        <w:rPr>
          <w:i/>
          <w:sz w:val="24"/>
          <w:szCs w:val="24"/>
        </w:rPr>
        <w:t>Milev</w:t>
      </w:r>
      <w:r w:rsidRPr="008B23BF">
        <w:rPr>
          <w:sz w:val="24"/>
          <w:szCs w:val="24"/>
        </w:rPr>
        <w:t>, C‑439/16 PPU, ECLI:EU:C:2016:818</w:t>
      </w:r>
    </w:p>
    <w:p w14:paraId="0CD2CF17" w14:textId="6AB3633C" w:rsidR="00F07939" w:rsidRDefault="00F07939" w:rsidP="003E4FB3">
      <w:pPr>
        <w:pStyle w:val="FootnoteText"/>
        <w:spacing w:before="120" w:line="276" w:lineRule="auto"/>
        <w:jc w:val="both"/>
        <w:rPr>
          <w:sz w:val="24"/>
          <w:szCs w:val="24"/>
        </w:rPr>
      </w:pPr>
      <w:r>
        <w:rPr>
          <w:sz w:val="24"/>
          <w:szCs w:val="24"/>
        </w:rPr>
        <w:t xml:space="preserve">Eiropas Savienības Tiesas </w:t>
      </w:r>
      <w:r w:rsidRPr="00F07939">
        <w:rPr>
          <w:sz w:val="24"/>
          <w:szCs w:val="24"/>
        </w:rPr>
        <w:t xml:space="preserve">2016.gada 7.septembra spriedums lietā </w:t>
      </w:r>
      <w:r w:rsidRPr="00F07939">
        <w:rPr>
          <w:i/>
          <w:sz w:val="24"/>
          <w:szCs w:val="24"/>
        </w:rPr>
        <w:t>Finn Frogne</w:t>
      </w:r>
      <w:r w:rsidRPr="00F07939">
        <w:rPr>
          <w:sz w:val="24"/>
          <w:szCs w:val="24"/>
        </w:rPr>
        <w:t>, C-549/14, ECLI:EU:C:2016:634</w:t>
      </w:r>
    </w:p>
    <w:p w14:paraId="0EF2C44A" w14:textId="4B7BF628" w:rsidR="001D37BE" w:rsidRDefault="001D37BE" w:rsidP="003E4FB3">
      <w:pPr>
        <w:pStyle w:val="FootnoteText"/>
        <w:spacing w:before="120" w:line="276" w:lineRule="auto"/>
        <w:jc w:val="both"/>
        <w:rPr>
          <w:sz w:val="24"/>
          <w:szCs w:val="24"/>
        </w:rPr>
      </w:pPr>
      <w:r>
        <w:rPr>
          <w:sz w:val="24"/>
          <w:szCs w:val="24"/>
        </w:rPr>
        <w:t xml:space="preserve">Eiropas Savienības Tiesas </w:t>
      </w:r>
      <w:r w:rsidRPr="001D37BE">
        <w:rPr>
          <w:sz w:val="24"/>
          <w:szCs w:val="24"/>
        </w:rPr>
        <w:t xml:space="preserve">2016.gada 14.jūlija spriedums lietā </w:t>
      </w:r>
      <w:r w:rsidRPr="001D37BE">
        <w:rPr>
          <w:i/>
          <w:sz w:val="24"/>
          <w:szCs w:val="24"/>
        </w:rPr>
        <w:t>Wrocław - Miasto na prawach powiatu</w:t>
      </w:r>
      <w:r w:rsidRPr="001D37BE">
        <w:rPr>
          <w:sz w:val="24"/>
          <w:szCs w:val="24"/>
        </w:rPr>
        <w:t>, C‑406/14, ECLI:EU:C:2016:562</w:t>
      </w:r>
    </w:p>
    <w:p w14:paraId="638D28B3" w14:textId="3E8972D9" w:rsidR="001D37BE" w:rsidRDefault="001D37BE" w:rsidP="003E4FB3">
      <w:pPr>
        <w:pStyle w:val="FootnoteText"/>
        <w:spacing w:before="120" w:line="276" w:lineRule="auto"/>
        <w:jc w:val="both"/>
        <w:rPr>
          <w:sz w:val="24"/>
          <w:szCs w:val="24"/>
        </w:rPr>
      </w:pPr>
      <w:r>
        <w:rPr>
          <w:sz w:val="24"/>
          <w:szCs w:val="24"/>
        </w:rPr>
        <w:t xml:space="preserve">Eiropas Savienības Tiesas </w:t>
      </w:r>
      <w:r w:rsidRPr="001D37BE">
        <w:rPr>
          <w:sz w:val="24"/>
          <w:szCs w:val="24"/>
        </w:rPr>
        <w:t xml:space="preserve">2016.gada 14.jūlija spriedums lietā </w:t>
      </w:r>
      <w:r w:rsidRPr="001D37BE">
        <w:rPr>
          <w:i/>
          <w:sz w:val="24"/>
          <w:szCs w:val="24"/>
        </w:rPr>
        <w:t>Dimarso</w:t>
      </w:r>
      <w:r w:rsidRPr="001D37BE">
        <w:rPr>
          <w:sz w:val="24"/>
          <w:szCs w:val="24"/>
        </w:rPr>
        <w:t>, C-6/15, ECLI:EU:C:2016:555</w:t>
      </w:r>
    </w:p>
    <w:p w14:paraId="1416C6EC" w14:textId="06D8C3CA" w:rsidR="0029179E" w:rsidRDefault="0029179E" w:rsidP="003E4FB3">
      <w:pPr>
        <w:pStyle w:val="FootnoteText"/>
        <w:spacing w:before="120" w:line="276" w:lineRule="auto"/>
        <w:jc w:val="both"/>
        <w:rPr>
          <w:sz w:val="24"/>
          <w:szCs w:val="24"/>
        </w:rPr>
      </w:pPr>
      <w:r>
        <w:rPr>
          <w:sz w:val="24"/>
          <w:szCs w:val="24"/>
        </w:rPr>
        <w:t>Eiropas Savienības Tiesas 2016.gada 7.jūlija</w:t>
      </w:r>
      <w:r w:rsidRPr="0029179E">
        <w:rPr>
          <w:sz w:val="24"/>
          <w:szCs w:val="24"/>
        </w:rPr>
        <w:t xml:space="preserve"> spriedums lietā Ambisig, C‑46/15, ECLI:EU:C:2016:530</w:t>
      </w:r>
    </w:p>
    <w:p w14:paraId="2988BDE7" w14:textId="77777777" w:rsidR="00FB306D" w:rsidRDefault="00FB306D" w:rsidP="003E4FB3">
      <w:pPr>
        <w:pStyle w:val="FootnoteText"/>
        <w:spacing w:before="120" w:line="276" w:lineRule="auto"/>
        <w:jc w:val="both"/>
        <w:rPr>
          <w:sz w:val="24"/>
          <w:szCs w:val="24"/>
        </w:rPr>
      </w:pPr>
      <w:r w:rsidRPr="00FB306D">
        <w:rPr>
          <w:sz w:val="24"/>
          <w:szCs w:val="24"/>
        </w:rPr>
        <w:t xml:space="preserve">Eiropas Savienības Tiesas 2016.gada 2.jūnija spriedums lietā </w:t>
      </w:r>
      <w:r w:rsidRPr="002F6D4B">
        <w:rPr>
          <w:i/>
          <w:sz w:val="24"/>
          <w:szCs w:val="24"/>
        </w:rPr>
        <w:t>Dr. Falk Pharma</w:t>
      </w:r>
      <w:r w:rsidRPr="00FB306D">
        <w:rPr>
          <w:sz w:val="24"/>
          <w:szCs w:val="24"/>
        </w:rPr>
        <w:t>, C-410/14, ECLI:EU:C:2016:399</w:t>
      </w:r>
    </w:p>
    <w:p w14:paraId="2232DB60" w14:textId="77777777" w:rsidR="0029179E" w:rsidRDefault="0029179E" w:rsidP="0029179E">
      <w:pPr>
        <w:pStyle w:val="FootnoteText"/>
        <w:spacing w:before="120" w:line="276" w:lineRule="auto"/>
        <w:jc w:val="both"/>
        <w:rPr>
          <w:sz w:val="24"/>
          <w:szCs w:val="24"/>
        </w:rPr>
      </w:pPr>
      <w:r w:rsidRPr="008B23BF">
        <w:rPr>
          <w:sz w:val="24"/>
          <w:szCs w:val="24"/>
        </w:rPr>
        <w:t xml:space="preserve">Eiropas Savienības Tiesas 2016.gada 2.jūnija spriedums lietā </w:t>
      </w:r>
      <w:r w:rsidRPr="008B23BF">
        <w:rPr>
          <w:i/>
          <w:sz w:val="24"/>
          <w:szCs w:val="24"/>
        </w:rPr>
        <w:t>Pippo Pizzo</w:t>
      </w:r>
      <w:r w:rsidRPr="008B23BF">
        <w:rPr>
          <w:sz w:val="24"/>
          <w:szCs w:val="24"/>
        </w:rPr>
        <w:t>,  C-27/15, ECLI:EU:C:2016:404</w:t>
      </w:r>
    </w:p>
    <w:p w14:paraId="723DA07F" w14:textId="61F51E11" w:rsidR="001D37BE" w:rsidRDefault="001D37BE" w:rsidP="003E4FB3">
      <w:pPr>
        <w:pStyle w:val="FootnoteText"/>
        <w:spacing w:before="120" w:line="276" w:lineRule="auto"/>
        <w:jc w:val="both"/>
        <w:rPr>
          <w:sz w:val="24"/>
          <w:szCs w:val="24"/>
        </w:rPr>
      </w:pPr>
      <w:r>
        <w:rPr>
          <w:sz w:val="24"/>
          <w:szCs w:val="24"/>
        </w:rPr>
        <w:t xml:space="preserve">Eiropas Savienības Tiesas </w:t>
      </w:r>
      <w:r w:rsidRPr="001D37BE">
        <w:rPr>
          <w:sz w:val="24"/>
          <w:szCs w:val="24"/>
        </w:rPr>
        <w:t xml:space="preserve">2016.gada 24.maija spriedums lietā </w:t>
      </w:r>
      <w:r w:rsidRPr="001D37BE">
        <w:rPr>
          <w:i/>
          <w:sz w:val="24"/>
          <w:szCs w:val="24"/>
        </w:rPr>
        <w:t>MT Højgaard un Züblin</w:t>
      </w:r>
      <w:r w:rsidRPr="001D37BE">
        <w:rPr>
          <w:sz w:val="24"/>
          <w:szCs w:val="24"/>
        </w:rPr>
        <w:t>, C-396/14, ECLI:EU:C:2016:347</w:t>
      </w:r>
    </w:p>
    <w:p w14:paraId="59D6C88B" w14:textId="49B6DA63" w:rsidR="00D77034" w:rsidRDefault="00D77034" w:rsidP="003E4FB3">
      <w:pPr>
        <w:pStyle w:val="FootnoteText"/>
        <w:spacing w:before="120" w:line="276" w:lineRule="auto"/>
        <w:jc w:val="both"/>
        <w:rPr>
          <w:sz w:val="24"/>
          <w:szCs w:val="24"/>
        </w:rPr>
      </w:pPr>
      <w:r w:rsidRPr="00D77034">
        <w:rPr>
          <w:sz w:val="24"/>
          <w:szCs w:val="24"/>
        </w:rPr>
        <w:t xml:space="preserve">Eiropas Savienības Tiesas 2016.gada 7.aprīļa spriedums lietā </w:t>
      </w:r>
      <w:r w:rsidRPr="002F6D4B">
        <w:rPr>
          <w:i/>
          <w:sz w:val="24"/>
          <w:szCs w:val="24"/>
        </w:rPr>
        <w:t>Partner Apelski Dariusz</w:t>
      </w:r>
      <w:r w:rsidRPr="00D77034">
        <w:rPr>
          <w:sz w:val="24"/>
          <w:szCs w:val="24"/>
        </w:rPr>
        <w:t>, C-324/14, ECLI:EU:C:2016:214</w:t>
      </w:r>
    </w:p>
    <w:p w14:paraId="793C7060" w14:textId="7F62862D" w:rsidR="00E41023" w:rsidRDefault="00E41023" w:rsidP="003E4FB3">
      <w:pPr>
        <w:pStyle w:val="FootnoteText"/>
        <w:spacing w:before="120" w:line="276" w:lineRule="auto"/>
        <w:jc w:val="both"/>
        <w:rPr>
          <w:sz w:val="24"/>
          <w:szCs w:val="24"/>
        </w:rPr>
      </w:pPr>
      <w:r>
        <w:rPr>
          <w:sz w:val="24"/>
          <w:szCs w:val="24"/>
        </w:rPr>
        <w:t xml:space="preserve">Eiropas Savienības Tiesas </w:t>
      </w:r>
      <w:r w:rsidRPr="00E41023">
        <w:rPr>
          <w:sz w:val="24"/>
          <w:szCs w:val="24"/>
        </w:rPr>
        <w:t xml:space="preserve">2016.gada 5.aprīļa spriedums lietā </w:t>
      </w:r>
      <w:r w:rsidRPr="00E41023">
        <w:rPr>
          <w:i/>
          <w:sz w:val="24"/>
          <w:szCs w:val="24"/>
        </w:rPr>
        <w:t>PFE</w:t>
      </w:r>
      <w:r w:rsidRPr="00E41023">
        <w:rPr>
          <w:sz w:val="24"/>
          <w:szCs w:val="24"/>
        </w:rPr>
        <w:t>, C‑689/13, ECLI:EU:C:2016:199</w:t>
      </w:r>
    </w:p>
    <w:p w14:paraId="4AB84085" w14:textId="717A92AD" w:rsidR="00813B53" w:rsidRDefault="00813B53" w:rsidP="003E4FB3">
      <w:pPr>
        <w:pStyle w:val="FootnoteText"/>
        <w:spacing w:before="120" w:line="276" w:lineRule="auto"/>
        <w:jc w:val="both"/>
        <w:rPr>
          <w:sz w:val="24"/>
          <w:szCs w:val="24"/>
        </w:rPr>
      </w:pPr>
      <w:r w:rsidRPr="00813B53">
        <w:rPr>
          <w:sz w:val="24"/>
          <w:szCs w:val="24"/>
        </w:rPr>
        <w:t xml:space="preserve">Eiropas Savienības Tiesas 2016.gada 14.janvāra spriedums lietā </w:t>
      </w:r>
      <w:r w:rsidRPr="00813B53">
        <w:rPr>
          <w:i/>
          <w:sz w:val="24"/>
          <w:szCs w:val="24"/>
        </w:rPr>
        <w:t>Ostas celtnieks</w:t>
      </w:r>
      <w:r w:rsidRPr="00813B53">
        <w:rPr>
          <w:sz w:val="24"/>
          <w:szCs w:val="24"/>
        </w:rPr>
        <w:t>, C‑234/14, ECLI:EU:C:2016:6</w:t>
      </w:r>
    </w:p>
    <w:p w14:paraId="4ACA1151" w14:textId="3B31D4CD" w:rsidR="008D57A3" w:rsidRDefault="008D57A3" w:rsidP="003E4FB3">
      <w:pPr>
        <w:pStyle w:val="FootnoteText"/>
        <w:spacing w:before="120" w:line="276" w:lineRule="auto"/>
        <w:jc w:val="both"/>
        <w:rPr>
          <w:sz w:val="24"/>
          <w:szCs w:val="24"/>
        </w:rPr>
      </w:pPr>
      <w:r>
        <w:rPr>
          <w:sz w:val="24"/>
          <w:szCs w:val="24"/>
        </w:rPr>
        <w:lastRenderedPageBreak/>
        <w:t xml:space="preserve">Eiropas Savienības Tiesas </w:t>
      </w:r>
      <w:r w:rsidRPr="008D57A3">
        <w:rPr>
          <w:sz w:val="24"/>
          <w:szCs w:val="24"/>
        </w:rPr>
        <w:t xml:space="preserve">2015.gada 16.aprīļa spriedums lietā </w:t>
      </w:r>
      <w:r w:rsidRPr="008D57A3">
        <w:rPr>
          <w:i/>
          <w:sz w:val="24"/>
          <w:szCs w:val="24"/>
        </w:rPr>
        <w:t>Enterprise Focused Solutions</w:t>
      </w:r>
      <w:r w:rsidRPr="008D57A3">
        <w:rPr>
          <w:sz w:val="24"/>
          <w:szCs w:val="24"/>
        </w:rPr>
        <w:t>, C‑278/14, ECLI:EU:C:2015:228</w:t>
      </w:r>
    </w:p>
    <w:p w14:paraId="779B6FF8" w14:textId="1519E0CC"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2014.gada 6.novembra spriedums lietā </w:t>
      </w:r>
      <w:r w:rsidRPr="008D57A3">
        <w:rPr>
          <w:i/>
          <w:sz w:val="24"/>
          <w:szCs w:val="24"/>
        </w:rPr>
        <w:t>Cartiera dell’Adda</w:t>
      </w:r>
      <w:r w:rsidRPr="008D57A3">
        <w:rPr>
          <w:sz w:val="24"/>
          <w:szCs w:val="24"/>
        </w:rPr>
        <w:t>, C‑42/13, ECLI:EU:C:2014:2345</w:t>
      </w:r>
    </w:p>
    <w:p w14:paraId="07846F2A" w14:textId="20EDC0C6" w:rsidR="001B3EE2" w:rsidRDefault="001B3EE2" w:rsidP="003E4FB3">
      <w:pPr>
        <w:pStyle w:val="FootnoteText"/>
        <w:spacing w:before="120" w:line="276" w:lineRule="auto"/>
        <w:jc w:val="both"/>
        <w:rPr>
          <w:sz w:val="24"/>
          <w:szCs w:val="24"/>
        </w:rPr>
      </w:pPr>
      <w:r>
        <w:rPr>
          <w:sz w:val="24"/>
          <w:szCs w:val="24"/>
        </w:rPr>
        <w:t xml:space="preserve">Eiropas Savienības Tiesas </w:t>
      </w:r>
      <w:r w:rsidRPr="001B3EE2">
        <w:rPr>
          <w:sz w:val="24"/>
          <w:szCs w:val="24"/>
        </w:rPr>
        <w:t xml:space="preserve">2014.gada 10.jūlija spriedums lietā </w:t>
      </w:r>
      <w:r w:rsidRPr="001B3EE2">
        <w:rPr>
          <w:i/>
          <w:sz w:val="24"/>
          <w:szCs w:val="24"/>
        </w:rPr>
        <w:t>Consorzio Stabile Libor Lavori Pubblici</w:t>
      </w:r>
      <w:r w:rsidRPr="001B3EE2">
        <w:rPr>
          <w:sz w:val="24"/>
          <w:szCs w:val="24"/>
        </w:rPr>
        <w:t>, C‑358/12, EU:C:2014:2063</w:t>
      </w:r>
    </w:p>
    <w:p w14:paraId="12E6E3A0" w14:textId="756C7F60" w:rsidR="008B23BF" w:rsidRDefault="008B23BF" w:rsidP="003E4FB3">
      <w:pPr>
        <w:pStyle w:val="FootnoteText"/>
        <w:spacing w:before="120" w:line="276" w:lineRule="auto"/>
        <w:jc w:val="both"/>
        <w:rPr>
          <w:sz w:val="24"/>
          <w:szCs w:val="24"/>
        </w:rPr>
      </w:pPr>
      <w:r>
        <w:rPr>
          <w:sz w:val="24"/>
          <w:szCs w:val="24"/>
        </w:rPr>
        <w:t xml:space="preserve">Eiropas Savienības Tiesas </w:t>
      </w:r>
      <w:r w:rsidRPr="008B23BF">
        <w:rPr>
          <w:sz w:val="24"/>
          <w:szCs w:val="24"/>
        </w:rPr>
        <w:t xml:space="preserve">2014.gada 10.jūlija spriedums lietā </w:t>
      </w:r>
      <w:r w:rsidRPr="008B23BF">
        <w:rPr>
          <w:i/>
          <w:sz w:val="24"/>
          <w:szCs w:val="24"/>
        </w:rPr>
        <w:t>Impresa Pizzarotti</w:t>
      </w:r>
      <w:r w:rsidRPr="008B23BF">
        <w:rPr>
          <w:sz w:val="24"/>
          <w:szCs w:val="24"/>
        </w:rPr>
        <w:t>, C‑213/13, ECLI:EU:C:2014:2067</w:t>
      </w:r>
    </w:p>
    <w:p w14:paraId="4197650A" w14:textId="3EF9CED8" w:rsidR="00CA1BDA" w:rsidRDefault="00CA1BDA" w:rsidP="003E4FB3">
      <w:pPr>
        <w:pStyle w:val="FootnoteText"/>
        <w:spacing w:before="120" w:line="276" w:lineRule="auto"/>
        <w:jc w:val="both"/>
        <w:rPr>
          <w:sz w:val="24"/>
          <w:szCs w:val="24"/>
        </w:rPr>
      </w:pPr>
      <w:r>
        <w:rPr>
          <w:sz w:val="24"/>
          <w:szCs w:val="24"/>
        </w:rPr>
        <w:t xml:space="preserve">Eiropas Savienības Tiesas </w:t>
      </w:r>
      <w:r w:rsidRPr="00CA1BDA">
        <w:rPr>
          <w:sz w:val="24"/>
          <w:szCs w:val="24"/>
        </w:rPr>
        <w:t xml:space="preserve">2014.gada 12.jūnija spriedums lietā </w:t>
      </w:r>
      <w:r w:rsidRPr="00CA1BDA">
        <w:rPr>
          <w:i/>
          <w:sz w:val="24"/>
          <w:szCs w:val="24"/>
        </w:rPr>
        <w:t>Digibet un Albers</w:t>
      </w:r>
      <w:r w:rsidRPr="00CA1BDA">
        <w:rPr>
          <w:sz w:val="24"/>
          <w:szCs w:val="24"/>
        </w:rPr>
        <w:t>, C‑156/13, ECLI:EU:C:2014:1756</w:t>
      </w:r>
    </w:p>
    <w:p w14:paraId="6E3229D7" w14:textId="08F937C9" w:rsidR="003B3A30" w:rsidRDefault="003B3A30" w:rsidP="003E4FB3">
      <w:pPr>
        <w:pStyle w:val="FootnoteText"/>
        <w:spacing w:before="120" w:line="276" w:lineRule="auto"/>
        <w:jc w:val="both"/>
        <w:rPr>
          <w:sz w:val="24"/>
          <w:szCs w:val="24"/>
        </w:rPr>
      </w:pPr>
      <w:r>
        <w:rPr>
          <w:sz w:val="24"/>
          <w:szCs w:val="24"/>
        </w:rPr>
        <w:t xml:space="preserve">Eiropas Savienības Tiesas </w:t>
      </w:r>
      <w:r w:rsidRPr="003B3A30">
        <w:rPr>
          <w:sz w:val="24"/>
          <w:szCs w:val="24"/>
        </w:rPr>
        <w:t xml:space="preserve">2014.gada 8.maija spriedums lietā </w:t>
      </w:r>
      <w:r w:rsidRPr="003B3A30">
        <w:rPr>
          <w:i/>
          <w:sz w:val="24"/>
          <w:szCs w:val="24"/>
        </w:rPr>
        <w:t>Datenlotsen Informationssysteme</w:t>
      </w:r>
      <w:r w:rsidRPr="003B3A30">
        <w:rPr>
          <w:sz w:val="24"/>
          <w:szCs w:val="24"/>
        </w:rPr>
        <w:t>, C‑15/13, ECLI:EU:C:2014:303</w:t>
      </w:r>
    </w:p>
    <w:p w14:paraId="1C1E0E9D" w14:textId="3D9AFFD9" w:rsidR="00E41023" w:rsidRDefault="00E41023" w:rsidP="003E4FB3">
      <w:pPr>
        <w:pStyle w:val="FootnoteText"/>
        <w:spacing w:before="120" w:line="276" w:lineRule="auto"/>
        <w:jc w:val="both"/>
        <w:rPr>
          <w:sz w:val="24"/>
          <w:szCs w:val="24"/>
        </w:rPr>
      </w:pPr>
      <w:r>
        <w:rPr>
          <w:sz w:val="24"/>
          <w:szCs w:val="24"/>
        </w:rPr>
        <w:t xml:space="preserve">Eiropas Savienības Tiesas </w:t>
      </w:r>
      <w:r w:rsidRPr="00E41023">
        <w:rPr>
          <w:sz w:val="24"/>
          <w:szCs w:val="24"/>
        </w:rPr>
        <w:t xml:space="preserve">2013.gada 4.jūlija spriedums lietā </w:t>
      </w:r>
      <w:r w:rsidRPr="00E41023">
        <w:rPr>
          <w:i/>
          <w:sz w:val="24"/>
          <w:szCs w:val="24"/>
        </w:rPr>
        <w:t>Fastweb</w:t>
      </w:r>
      <w:r w:rsidRPr="00E41023">
        <w:rPr>
          <w:sz w:val="24"/>
          <w:szCs w:val="24"/>
        </w:rPr>
        <w:t>, C-100/12, ECLI:EU:C:2013:448</w:t>
      </w:r>
    </w:p>
    <w:p w14:paraId="0B34AA5E" w14:textId="34AA6FC5"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2012.gada 10.maija spriedums lietā Komisija/Nīderlande, C‑368/10, ECLI:EU:C:2012:284</w:t>
      </w:r>
    </w:p>
    <w:p w14:paraId="6867B9A1" w14:textId="78C0138D" w:rsidR="001D37BE" w:rsidRDefault="001D37BE" w:rsidP="003E4FB3">
      <w:pPr>
        <w:pStyle w:val="FootnoteText"/>
        <w:spacing w:before="120" w:line="276" w:lineRule="auto"/>
        <w:jc w:val="both"/>
        <w:rPr>
          <w:sz w:val="24"/>
          <w:szCs w:val="24"/>
        </w:rPr>
      </w:pPr>
      <w:r>
        <w:rPr>
          <w:sz w:val="24"/>
          <w:szCs w:val="24"/>
        </w:rPr>
        <w:t xml:space="preserve">Eiropas Savienības Tiesas </w:t>
      </w:r>
      <w:r w:rsidRPr="001D37BE">
        <w:rPr>
          <w:sz w:val="24"/>
          <w:szCs w:val="24"/>
        </w:rPr>
        <w:t xml:space="preserve">2011.gada 21.jūlija spriedums lietā </w:t>
      </w:r>
      <w:r w:rsidRPr="001D37BE">
        <w:rPr>
          <w:i/>
          <w:sz w:val="24"/>
          <w:szCs w:val="24"/>
        </w:rPr>
        <w:t>Evropaïki Dynamiki/EMSA</w:t>
      </w:r>
      <w:r w:rsidRPr="001D37BE">
        <w:rPr>
          <w:sz w:val="24"/>
          <w:szCs w:val="24"/>
        </w:rPr>
        <w:t>, C‑252/10 P, ELCI:EU:C:2011:512</w:t>
      </w:r>
    </w:p>
    <w:p w14:paraId="6BA5BA99" w14:textId="4E5292E5" w:rsidR="008B23BF" w:rsidRDefault="008B23BF" w:rsidP="003E4FB3">
      <w:pPr>
        <w:pStyle w:val="FootnoteText"/>
        <w:spacing w:before="120" w:line="276" w:lineRule="auto"/>
        <w:jc w:val="both"/>
        <w:rPr>
          <w:sz w:val="24"/>
          <w:szCs w:val="24"/>
        </w:rPr>
      </w:pPr>
      <w:r>
        <w:rPr>
          <w:sz w:val="24"/>
          <w:szCs w:val="24"/>
        </w:rPr>
        <w:t>Eiropas Savienības Tiesas 2006.gada 4.jūlija spriedums</w:t>
      </w:r>
      <w:r w:rsidRPr="008B23BF">
        <w:rPr>
          <w:sz w:val="24"/>
          <w:szCs w:val="24"/>
        </w:rPr>
        <w:t xml:space="preserve"> lietā </w:t>
      </w:r>
      <w:r w:rsidRPr="008B23BF">
        <w:rPr>
          <w:i/>
          <w:sz w:val="24"/>
          <w:szCs w:val="24"/>
        </w:rPr>
        <w:t>Adeneler</w:t>
      </w:r>
      <w:r w:rsidRPr="008B23BF">
        <w:rPr>
          <w:sz w:val="24"/>
          <w:szCs w:val="24"/>
        </w:rPr>
        <w:t xml:space="preserve"> u.c., C‑212/04, ECLI:EU:C:2006:443</w:t>
      </w:r>
    </w:p>
    <w:p w14:paraId="20B49817" w14:textId="0F707951"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2006.gada 9.februāra spriedums apvienotajās lietās </w:t>
      </w:r>
      <w:r w:rsidRPr="008D57A3">
        <w:rPr>
          <w:i/>
          <w:sz w:val="24"/>
          <w:szCs w:val="24"/>
        </w:rPr>
        <w:t>La Cascina u.c.</w:t>
      </w:r>
      <w:r w:rsidRPr="008D57A3">
        <w:rPr>
          <w:sz w:val="24"/>
          <w:szCs w:val="24"/>
        </w:rPr>
        <w:t>, C‑226/04 un C‑228/04, ECLI:EU:C:2006:94</w:t>
      </w:r>
    </w:p>
    <w:p w14:paraId="7297D9B4" w14:textId="729511D8"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2005.gada 11.janvāra spriedums lietā </w:t>
      </w:r>
      <w:r w:rsidRPr="008D57A3">
        <w:rPr>
          <w:i/>
          <w:sz w:val="24"/>
          <w:szCs w:val="24"/>
        </w:rPr>
        <w:t>Stadt Halle un RPL Lochau</w:t>
      </w:r>
      <w:r w:rsidRPr="008D57A3">
        <w:rPr>
          <w:sz w:val="24"/>
          <w:szCs w:val="24"/>
        </w:rPr>
        <w:t>, C‑26/03, ECLI:EU:C:2005:5</w:t>
      </w:r>
    </w:p>
    <w:p w14:paraId="61FC7D80" w14:textId="685A404F"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2003.gada 19.jūnija spriedums lietā </w:t>
      </w:r>
      <w:r w:rsidRPr="008D57A3">
        <w:rPr>
          <w:i/>
          <w:sz w:val="24"/>
          <w:szCs w:val="24"/>
        </w:rPr>
        <w:t>Hackermüller</w:t>
      </w:r>
      <w:r w:rsidRPr="008D57A3">
        <w:rPr>
          <w:sz w:val="24"/>
          <w:szCs w:val="24"/>
        </w:rPr>
        <w:t>, C-249/01, ECLI:EU:C:2003:359</w:t>
      </w:r>
    </w:p>
    <w:p w14:paraId="6B655101" w14:textId="06FA9245" w:rsidR="008D57A3" w:rsidRDefault="008D57A3" w:rsidP="003E4FB3">
      <w:pPr>
        <w:pStyle w:val="FootnoteText"/>
        <w:spacing w:before="120" w:line="276" w:lineRule="auto"/>
        <w:jc w:val="both"/>
        <w:rPr>
          <w:sz w:val="24"/>
          <w:szCs w:val="24"/>
        </w:rPr>
      </w:pPr>
      <w:r>
        <w:rPr>
          <w:sz w:val="24"/>
          <w:szCs w:val="24"/>
        </w:rPr>
        <w:t xml:space="preserve">Eiropas Savienības Tiesas </w:t>
      </w:r>
      <w:r w:rsidRPr="008D57A3">
        <w:rPr>
          <w:sz w:val="24"/>
          <w:szCs w:val="24"/>
        </w:rPr>
        <w:t xml:space="preserve">2002.gada 12.decembra spriedums lietā </w:t>
      </w:r>
      <w:r w:rsidRPr="008D57A3">
        <w:rPr>
          <w:i/>
          <w:sz w:val="24"/>
          <w:szCs w:val="24"/>
        </w:rPr>
        <w:t>Universale-Bau u.c.</w:t>
      </w:r>
      <w:r w:rsidRPr="008D57A3">
        <w:rPr>
          <w:sz w:val="24"/>
          <w:szCs w:val="24"/>
        </w:rPr>
        <w:t>, C‑470/99, ECLI:EU:C:2002:746</w:t>
      </w:r>
    </w:p>
    <w:p w14:paraId="57756A09" w14:textId="1CE7FF08" w:rsidR="00433E04" w:rsidRDefault="00FB306D" w:rsidP="003E4FB3">
      <w:pPr>
        <w:pStyle w:val="FootnoteText"/>
        <w:spacing w:before="120" w:line="276" w:lineRule="auto"/>
        <w:jc w:val="both"/>
        <w:rPr>
          <w:sz w:val="24"/>
          <w:szCs w:val="24"/>
        </w:rPr>
      </w:pPr>
      <w:r>
        <w:rPr>
          <w:sz w:val="24"/>
          <w:szCs w:val="24"/>
        </w:rPr>
        <w:t>Eiropas Savienības Tiesas</w:t>
      </w:r>
      <w:r w:rsidRPr="00FB306D">
        <w:rPr>
          <w:sz w:val="24"/>
          <w:szCs w:val="24"/>
        </w:rPr>
        <w:t xml:space="preserve"> 1998.gada 10.novembra spriedums lietā </w:t>
      </w:r>
      <w:r w:rsidRPr="002F6D4B">
        <w:rPr>
          <w:i/>
          <w:sz w:val="24"/>
          <w:szCs w:val="24"/>
        </w:rPr>
        <w:t>BFI Holding</w:t>
      </w:r>
      <w:r w:rsidRPr="00FB306D">
        <w:rPr>
          <w:sz w:val="24"/>
          <w:szCs w:val="24"/>
        </w:rPr>
        <w:t>, C‑360/96, ECLI:EU:C:1998:525</w:t>
      </w:r>
    </w:p>
    <w:p w14:paraId="2E6D2C36" w14:textId="52C0B54B" w:rsidR="008B23BF" w:rsidRDefault="008B23BF" w:rsidP="003E4FB3">
      <w:pPr>
        <w:pStyle w:val="FootnoteText"/>
        <w:spacing w:before="120" w:line="276" w:lineRule="auto"/>
        <w:jc w:val="both"/>
        <w:rPr>
          <w:sz w:val="24"/>
          <w:szCs w:val="24"/>
        </w:rPr>
      </w:pPr>
      <w:r w:rsidRPr="008B23BF">
        <w:rPr>
          <w:sz w:val="24"/>
          <w:szCs w:val="24"/>
        </w:rPr>
        <w:t>Eiropas Savienības Tiesas</w:t>
      </w:r>
      <w:r>
        <w:rPr>
          <w:sz w:val="24"/>
          <w:szCs w:val="24"/>
        </w:rPr>
        <w:t xml:space="preserve"> 1997.gada 18.decembra spriedums</w:t>
      </w:r>
      <w:r w:rsidRPr="008B23BF">
        <w:rPr>
          <w:sz w:val="24"/>
          <w:szCs w:val="24"/>
        </w:rPr>
        <w:t xml:space="preserve"> lietā </w:t>
      </w:r>
      <w:r w:rsidRPr="008B23BF">
        <w:rPr>
          <w:i/>
          <w:sz w:val="24"/>
          <w:szCs w:val="24"/>
        </w:rPr>
        <w:t>Inter-Environnement Wallonie</w:t>
      </w:r>
      <w:r w:rsidRPr="008B23BF">
        <w:rPr>
          <w:sz w:val="24"/>
          <w:szCs w:val="24"/>
        </w:rPr>
        <w:t>, C‑129/96, ECLI:EU:C:1997:628</w:t>
      </w:r>
    </w:p>
    <w:p w14:paraId="60044B97" w14:textId="77777777" w:rsidR="006E60B4" w:rsidRDefault="006E60B4" w:rsidP="003E4FB3">
      <w:pPr>
        <w:pStyle w:val="FootnoteText"/>
        <w:spacing w:before="120" w:line="276" w:lineRule="auto"/>
        <w:jc w:val="both"/>
        <w:rPr>
          <w:sz w:val="24"/>
          <w:szCs w:val="24"/>
        </w:rPr>
      </w:pPr>
    </w:p>
    <w:p w14:paraId="5F92CBCF" w14:textId="296A5AD5" w:rsidR="006E60B4" w:rsidRDefault="006E60B4" w:rsidP="003E4FB3">
      <w:pPr>
        <w:pStyle w:val="FootnoteText"/>
        <w:spacing w:before="120" w:line="276" w:lineRule="auto"/>
        <w:jc w:val="both"/>
        <w:rPr>
          <w:sz w:val="24"/>
          <w:szCs w:val="24"/>
        </w:rPr>
      </w:pPr>
      <w:r>
        <w:rPr>
          <w:sz w:val="24"/>
          <w:szCs w:val="24"/>
        </w:rPr>
        <w:t>Apkopojumu sastādījis:</w:t>
      </w:r>
    </w:p>
    <w:p w14:paraId="07DAF2A5" w14:textId="741F4703" w:rsidR="006E60B4" w:rsidRDefault="006E60B4" w:rsidP="006E60B4">
      <w:pPr>
        <w:pStyle w:val="FootnoteText"/>
        <w:spacing w:before="120" w:line="276" w:lineRule="auto"/>
        <w:jc w:val="both"/>
        <w:rPr>
          <w:sz w:val="24"/>
          <w:szCs w:val="24"/>
        </w:rPr>
      </w:pPr>
      <w:r>
        <w:rPr>
          <w:sz w:val="24"/>
          <w:szCs w:val="24"/>
        </w:rPr>
        <w:t>Augstākās tiesas Judikatūras un zinātniski analītiskās nodaļas zinātniski analītiskais padomnieks Aleksandrs Potaičuks</w:t>
      </w:r>
    </w:p>
    <w:p w14:paraId="5BF623C8" w14:textId="594E33CE" w:rsidR="009C6B03" w:rsidRPr="00D76279" w:rsidRDefault="009C6B03" w:rsidP="006E60B4">
      <w:pPr>
        <w:pStyle w:val="FootnoteText"/>
        <w:spacing w:before="120" w:line="276" w:lineRule="auto"/>
        <w:jc w:val="both"/>
        <w:rPr>
          <w:b/>
        </w:rPr>
      </w:pPr>
    </w:p>
    <w:sectPr w:rsidR="009C6B03" w:rsidRPr="00D76279" w:rsidSect="00881E28">
      <w:footerReference w:type="default" r:id="rId9"/>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B06F3" w16cid:durableId="1D3EBA7F"/>
  <w16cid:commentId w16cid:paraId="3A6253E9" w16cid:durableId="1D3EBE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EA53" w14:textId="77777777" w:rsidR="004A591C" w:rsidRDefault="004A591C" w:rsidP="00EB575E">
      <w:pPr>
        <w:spacing w:after="0" w:line="240" w:lineRule="auto"/>
      </w:pPr>
      <w:r>
        <w:separator/>
      </w:r>
    </w:p>
  </w:endnote>
  <w:endnote w:type="continuationSeparator" w:id="0">
    <w:p w14:paraId="6009974E" w14:textId="77777777" w:rsidR="004A591C" w:rsidRDefault="004A591C" w:rsidP="00EB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643824"/>
      <w:docPartObj>
        <w:docPartGallery w:val="Page Numbers (Bottom of Page)"/>
        <w:docPartUnique/>
      </w:docPartObj>
    </w:sdtPr>
    <w:sdtEndPr>
      <w:rPr>
        <w:noProof/>
      </w:rPr>
    </w:sdtEndPr>
    <w:sdtContent>
      <w:p w14:paraId="22B902AD" w14:textId="52E1D086" w:rsidR="00E732AF" w:rsidRDefault="00E732AF">
        <w:pPr>
          <w:pStyle w:val="Footer"/>
          <w:jc w:val="center"/>
        </w:pPr>
        <w:r>
          <w:fldChar w:fldCharType="begin"/>
        </w:r>
        <w:r>
          <w:instrText xml:space="preserve"> PAGE   \* MERGEFORMAT </w:instrText>
        </w:r>
        <w:r>
          <w:fldChar w:fldCharType="separate"/>
        </w:r>
        <w:r w:rsidR="009733C9">
          <w:rPr>
            <w:noProof/>
          </w:rPr>
          <w:t>30</w:t>
        </w:r>
        <w:r>
          <w:rPr>
            <w:noProof/>
          </w:rPr>
          <w:fldChar w:fldCharType="end"/>
        </w:r>
      </w:p>
    </w:sdtContent>
  </w:sdt>
  <w:p w14:paraId="2EA8602B" w14:textId="77777777" w:rsidR="00E732AF" w:rsidRDefault="00E73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ECDD9" w14:textId="77777777" w:rsidR="004A591C" w:rsidRDefault="004A591C" w:rsidP="00EB575E">
      <w:pPr>
        <w:spacing w:after="0" w:line="240" w:lineRule="auto"/>
      </w:pPr>
      <w:r>
        <w:separator/>
      </w:r>
    </w:p>
  </w:footnote>
  <w:footnote w:type="continuationSeparator" w:id="0">
    <w:p w14:paraId="49DCCF34" w14:textId="77777777" w:rsidR="004A591C" w:rsidRDefault="004A591C" w:rsidP="00EB575E">
      <w:pPr>
        <w:spacing w:after="0" w:line="240" w:lineRule="auto"/>
      </w:pPr>
      <w:r>
        <w:continuationSeparator/>
      </w:r>
    </w:p>
  </w:footnote>
  <w:footnote w:id="1">
    <w:p w14:paraId="08A93483" w14:textId="64FC5772" w:rsidR="00E732AF" w:rsidRDefault="00E732AF" w:rsidP="00E732AF">
      <w:pPr>
        <w:pStyle w:val="FootnoteText"/>
        <w:jc w:val="both"/>
      </w:pPr>
      <w:r>
        <w:rPr>
          <w:rStyle w:val="FootnoteReference"/>
        </w:rPr>
        <w:footnoteRef/>
      </w:r>
      <w:r>
        <w:t xml:space="preserve"> Eiropas Savienības Tiesas 2016.gada 2.jūnija spriedums lietā </w:t>
      </w:r>
      <w:r w:rsidRPr="00B76C48">
        <w:rPr>
          <w:i/>
        </w:rPr>
        <w:t>Dr. Falk Pharma</w:t>
      </w:r>
      <w:r>
        <w:t xml:space="preserve">, </w:t>
      </w:r>
      <w:r w:rsidRPr="00B76C48">
        <w:t>C-410/14</w:t>
      </w:r>
      <w:r>
        <w:t xml:space="preserve">, </w:t>
      </w:r>
      <w:r w:rsidRPr="00BC059F">
        <w:t>ECLI:EU:C:2016:399</w:t>
      </w:r>
      <w:r>
        <w:t xml:space="preserve">, 34., 35.punkts,  1998.gada 10.novembra spriedums lietā </w:t>
      </w:r>
      <w:r w:rsidRPr="00590135">
        <w:rPr>
          <w:i/>
        </w:rPr>
        <w:t>BFI Holding</w:t>
      </w:r>
      <w:r w:rsidRPr="00590135">
        <w:t xml:space="preserve">, C‑360/96, </w:t>
      </w:r>
      <w:r>
        <w:t>ECLI:EU:C:1998:525, 41. un 42.</w:t>
      </w:r>
      <w:r w:rsidRPr="00590135">
        <w:t>punkts</w:t>
      </w:r>
      <w:r>
        <w:t xml:space="preserve">. </w:t>
      </w:r>
    </w:p>
  </w:footnote>
  <w:footnote w:id="2">
    <w:p w14:paraId="40D40076" w14:textId="3D9AE8F7"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w:t>
      </w:r>
    </w:p>
  </w:footnote>
  <w:footnote w:id="3">
    <w:p w14:paraId="2DFECA73" w14:textId="6F8A1C2B"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xml:space="preserve">, 83., 94.punkts, 2017.gada 5.aprīļa spriedums lietā </w:t>
      </w:r>
      <w:r w:rsidRPr="00A13201">
        <w:rPr>
          <w:i/>
        </w:rPr>
        <w:t>Borta</w:t>
      </w:r>
      <w:r>
        <w:t xml:space="preserve">, C-298/15, </w:t>
      </w:r>
      <w:r w:rsidRPr="00A13201">
        <w:t>ECLI:EU:C:2017:266</w:t>
      </w:r>
      <w:r>
        <w:t xml:space="preserve">, 27.punkts,  2014.gada 10.jūlija spriedums lietā </w:t>
      </w:r>
      <w:r w:rsidRPr="006E116E">
        <w:rPr>
          <w:i/>
        </w:rPr>
        <w:t>Impresa Pizzarotti</w:t>
      </w:r>
      <w:r w:rsidRPr="006E116E">
        <w:t xml:space="preserve">, C‑213/13, </w:t>
      </w:r>
      <w:r>
        <w:t>ECLI:EU:C:2014:2067, 31.</w:t>
      </w:r>
      <w:r w:rsidRPr="006E116E">
        <w:t>punkts</w:t>
      </w:r>
      <w:r>
        <w:t xml:space="preserve">. </w:t>
      </w:r>
    </w:p>
  </w:footnote>
  <w:footnote w:id="4">
    <w:p w14:paraId="570E8DCD" w14:textId="0D4A7F78"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32.punkts kopsakarā ar Eiropas Savienības Tiesas 2016.gada 27.oktobra spriedumu</w:t>
      </w:r>
      <w:r w:rsidRPr="00C16818">
        <w:t xml:space="preserve"> lietā </w:t>
      </w:r>
      <w:r w:rsidRPr="00C16818">
        <w:rPr>
          <w:i/>
        </w:rPr>
        <w:t>Milev</w:t>
      </w:r>
      <w:r w:rsidRPr="00C16818">
        <w:t>, C‑439/16 PPU, ECLI:EU:C:2016:818, 32.punk</w:t>
      </w:r>
      <w:r>
        <w:t>tu, 2006.gada 4.jūlija spriedumu</w:t>
      </w:r>
      <w:r w:rsidRPr="00C16818">
        <w:t xml:space="preserve"> lietā </w:t>
      </w:r>
      <w:r w:rsidRPr="00C16818">
        <w:rPr>
          <w:i/>
        </w:rPr>
        <w:t>Adeneler</w:t>
      </w:r>
      <w:r w:rsidRPr="00C16818">
        <w:t xml:space="preserve"> u.c., C‑212/04, ECLI:E</w:t>
      </w:r>
      <w:r>
        <w:t xml:space="preserve">U:C:2006:443, 122. un 123.punktu, sk. arī Eiropas Savienības Tiesas 1997.gada 18.decembra spriedumu lietā </w:t>
      </w:r>
      <w:r w:rsidRPr="004C2EBA">
        <w:rPr>
          <w:i/>
        </w:rPr>
        <w:t>Inter-Environnement Wallonie</w:t>
      </w:r>
      <w:r>
        <w:t>, C‑129/96, ECLI:EU:C:1997:628, 45.punktu.</w:t>
      </w:r>
    </w:p>
  </w:footnote>
  <w:footnote w:id="5">
    <w:p w14:paraId="67C89687" w14:textId="4200C67B"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32.punkts.</w:t>
      </w:r>
    </w:p>
  </w:footnote>
  <w:footnote w:id="6">
    <w:p w14:paraId="763E95B9" w14:textId="4B286D9D"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21. – 34.punkts. </w:t>
      </w:r>
    </w:p>
  </w:footnote>
  <w:footnote w:id="7">
    <w:p w14:paraId="0F6896E2" w14:textId="1CA0591E" w:rsidR="00E732AF" w:rsidRPr="007A3780" w:rsidRDefault="00E732AF" w:rsidP="00E732AF">
      <w:pPr>
        <w:pStyle w:val="FootnoteText"/>
        <w:jc w:val="both"/>
      </w:pPr>
      <w:r>
        <w:rPr>
          <w:rStyle w:val="FootnoteReference"/>
        </w:rPr>
        <w:footnoteRef/>
      </w:r>
      <w:r>
        <w:t xml:space="preserve"> Eiropas Savienības Tiesas 2016.gada 21.decembra spriedums lietā </w:t>
      </w:r>
      <w:r w:rsidRPr="007A3780">
        <w:rPr>
          <w:i/>
        </w:rPr>
        <w:t>Technische Gebäudebetreuung and Caverion Österreich</w:t>
      </w:r>
      <w:r>
        <w:t xml:space="preserve">, </w:t>
      </w:r>
      <w:r w:rsidRPr="00AC7F0C">
        <w:t>C-355/15</w:t>
      </w:r>
      <w:r>
        <w:t xml:space="preserve">, ECLI:EU:C:2016:988, 28.punkts, 2016.gada 5.aprīļa spriedums lietā </w:t>
      </w:r>
      <w:r w:rsidRPr="00D820A8">
        <w:rPr>
          <w:i/>
        </w:rPr>
        <w:t>PFE</w:t>
      </w:r>
      <w:r w:rsidRPr="00D820A8">
        <w:t xml:space="preserve">, C‑689/13, </w:t>
      </w:r>
      <w:r>
        <w:t>ECLI:EU:C:2016:199, 23.</w:t>
      </w:r>
      <w:r w:rsidRPr="00D820A8">
        <w:t>punkts</w:t>
      </w:r>
      <w:r>
        <w:t xml:space="preserve">. </w:t>
      </w:r>
    </w:p>
  </w:footnote>
  <w:footnote w:id="8">
    <w:p w14:paraId="11AFD2E7" w14:textId="4245577A" w:rsidR="00E732AF" w:rsidRPr="00D62393" w:rsidRDefault="00E732AF" w:rsidP="00E732AF">
      <w:pPr>
        <w:pStyle w:val="FootnoteText"/>
        <w:jc w:val="both"/>
      </w:pPr>
      <w:r>
        <w:rPr>
          <w:rStyle w:val="FootnoteReference"/>
        </w:rPr>
        <w:footnoteRef/>
      </w:r>
      <w:r>
        <w:t xml:space="preserve"> Eiropas Savienības Tiesas 2013.gada 4.jūlija spriedums lietā </w:t>
      </w:r>
      <w:r>
        <w:rPr>
          <w:i/>
        </w:rPr>
        <w:t>Fastweb</w:t>
      </w:r>
      <w:r>
        <w:t xml:space="preserve">, C-100/12, </w:t>
      </w:r>
      <w:r w:rsidRPr="00611ECC">
        <w:t>ECLI:EU:C:2013:448</w:t>
      </w:r>
      <w:r>
        <w:t>, 26.punkts, 2003.gada 19.</w:t>
      </w:r>
      <w:r w:rsidRPr="005E185B">
        <w:t>jūnija</w:t>
      </w:r>
      <w:r>
        <w:t xml:space="preserve"> spriedums </w:t>
      </w:r>
      <w:r w:rsidRPr="005E185B">
        <w:t xml:space="preserve">lietā </w:t>
      </w:r>
      <w:r w:rsidRPr="005E185B">
        <w:rPr>
          <w:i/>
        </w:rPr>
        <w:t>Hackermüller</w:t>
      </w:r>
      <w:r>
        <w:t>,</w:t>
      </w:r>
      <w:r w:rsidRPr="005E185B">
        <w:t xml:space="preserve"> C-249/01,</w:t>
      </w:r>
      <w:r>
        <w:t xml:space="preserve"> ECLI:EU:C:2003:359, 26.</w:t>
      </w:r>
      <w:r w:rsidRPr="005E185B">
        <w:t>punkts</w:t>
      </w:r>
      <w:r>
        <w:t xml:space="preserve">. </w:t>
      </w:r>
    </w:p>
  </w:footnote>
  <w:footnote w:id="9">
    <w:p w14:paraId="522073D8" w14:textId="4ECB1A37" w:rsidR="00E732AF" w:rsidRDefault="00E732AF" w:rsidP="00E732AF">
      <w:pPr>
        <w:pStyle w:val="FootnoteText"/>
        <w:jc w:val="both"/>
      </w:pPr>
      <w:r>
        <w:rPr>
          <w:rStyle w:val="FootnoteReference"/>
        </w:rPr>
        <w:footnoteRef/>
      </w:r>
      <w:r>
        <w:t xml:space="preserve"> Eiropas Savienības Tiesas 2013.gada 4.jūlija spriedums lietā </w:t>
      </w:r>
      <w:r>
        <w:rPr>
          <w:i/>
        </w:rPr>
        <w:t>Fastweb</w:t>
      </w:r>
      <w:r>
        <w:t xml:space="preserve">, C-100/12, </w:t>
      </w:r>
      <w:r w:rsidRPr="00611ECC">
        <w:t>ECLI:EU:C:2013:448</w:t>
      </w:r>
      <w:r>
        <w:t xml:space="preserve">. </w:t>
      </w:r>
    </w:p>
  </w:footnote>
  <w:footnote w:id="10">
    <w:p w14:paraId="3E46BF25" w14:textId="3E9568EE" w:rsidR="00E732AF" w:rsidRDefault="00E732AF" w:rsidP="00E732AF">
      <w:pPr>
        <w:pStyle w:val="FootnoteText"/>
        <w:jc w:val="both"/>
      </w:pPr>
      <w:r>
        <w:rPr>
          <w:rStyle w:val="FootnoteReference"/>
        </w:rPr>
        <w:footnoteRef/>
      </w:r>
      <w:r>
        <w:t xml:space="preserve"> Eiropas Savienības Tiesas 2013.gada 4.jūlija spriedums lietā </w:t>
      </w:r>
      <w:r>
        <w:rPr>
          <w:i/>
        </w:rPr>
        <w:t>Fastweb</w:t>
      </w:r>
      <w:r>
        <w:t xml:space="preserve">, C-100/12, </w:t>
      </w:r>
      <w:r w:rsidRPr="00611ECC">
        <w:t>ECLI:EU:C:2013:448</w:t>
      </w:r>
      <w:r>
        <w:t xml:space="preserve">, 33.punkts, 2016.gada 5.aprīļa spriedums lietā </w:t>
      </w:r>
      <w:r w:rsidRPr="00D820A8">
        <w:rPr>
          <w:i/>
        </w:rPr>
        <w:t>PFE</w:t>
      </w:r>
      <w:r w:rsidRPr="00D820A8">
        <w:t xml:space="preserve">, C‑689/13, </w:t>
      </w:r>
      <w:r>
        <w:t>ECLI:EU:C:2016:199, 23.</w:t>
      </w:r>
      <w:r w:rsidRPr="00D820A8">
        <w:t>punkts</w:t>
      </w:r>
      <w:r>
        <w:t>.</w:t>
      </w:r>
    </w:p>
  </w:footnote>
  <w:footnote w:id="11">
    <w:p w14:paraId="4013D933" w14:textId="44559B58" w:rsidR="00E732AF" w:rsidRDefault="00E732AF" w:rsidP="00E732AF">
      <w:pPr>
        <w:pStyle w:val="FootnoteText"/>
        <w:jc w:val="both"/>
      </w:pPr>
      <w:r>
        <w:rPr>
          <w:rStyle w:val="FootnoteReference"/>
        </w:rPr>
        <w:footnoteRef/>
      </w:r>
      <w:r>
        <w:t xml:space="preserve"> Eiropas Savienības Tiesas 2016.gada 5.aprīļa spriedums lietā </w:t>
      </w:r>
      <w:r w:rsidRPr="00D820A8">
        <w:rPr>
          <w:i/>
        </w:rPr>
        <w:t>PFE</w:t>
      </w:r>
      <w:r w:rsidRPr="00D820A8">
        <w:t xml:space="preserve">, C‑689/13, </w:t>
      </w:r>
      <w:r>
        <w:t>ECLI:EU:C:2016:199, 27.</w:t>
      </w:r>
      <w:r w:rsidRPr="00D820A8">
        <w:t>punkts</w:t>
      </w:r>
      <w:r>
        <w:t>.</w:t>
      </w:r>
    </w:p>
  </w:footnote>
  <w:footnote w:id="12">
    <w:p w14:paraId="72A3CC29" w14:textId="6A02BC93" w:rsidR="00E732AF" w:rsidRDefault="00E732AF" w:rsidP="00E732AF">
      <w:pPr>
        <w:pStyle w:val="FootnoteText"/>
        <w:jc w:val="both"/>
      </w:pPr>
      <w:r>
        <w:rPr>
          <w:rStyle w:val="FootnoteReference"/>
        </w:rPr>
        <w:footnoteRef/>
      </w:r>
      <w:r>
        <w:t xml:space="preserve"> Eiropas Savienības Tiesas 2013.gada 4.jūlija spriedums lietā </w:t>
      </w:r>
      <w:r>
        <w:rPr>
          <w:i/>
        </w:rPr>
        <w:t>Fastweb</w:t>
      </w:r>
      <w:r>
        <w:t xml:space="preserve">, C-100/12, </w:t>
      </w:r>
      <w:r w:rsidRPr="00611ECC">
        <w:t>ECLI:EU:C:2013:448</w:t>
      </w:r>
      <w:r>
        <w:t xml:space="preserve">, 34.punkts. </w:t>
      </w:r>
    </w:p>
  </w:footnote>
  <w:footnote w:id="13">
    <w:p w14:paraId="3AFEDBA8" w14:textId="5CABFD5A" w:rsidR="00E732AF" w:rsidRDefault="00E732AF" w:rsidP="00E732AF">
      <w:pPr>
        <w:pStyle w:val="FootnoteText"/>
        <w:jc w:val="both"/>
      </w:pPr>
      <w:r>
        <w:rPr>
          <w:rStyle w:val="FootnoteReference"/>
        </w:rPr>
        <w:footnoteRef/>
      </w:r>
      <w:r>
        <w:t xml:space="preserve"> Eiropas Savienības Tiesas 2016.gada 21.decembra spriedums lietā </w:t>
      </w:r>
      <w:r w:rsidRPr="007A3780">
        <w:rPr>
          <w:i/>
        </w:rPr>
        <w:t>Technische Gebäudebetreuung and Caverion Österreich</w:t>
      </w:r>
      <w:r>
        <w:t xml:space="preserve">, </w:t>
      </w:r>
      <w:r w:rsidRPr="00AC7F0C">
        <w:t>C-355/15</w:t>
      </w:r>
      <w:r>
        <w:t xml:space="preserve">, ECLI:EU:C:2016:988. </w:t>
      </w:r>
    </w:p>
  </w:footnote>
  <w:footnote w:id="14">
    <w:p w14:paraId="5B40D7C6" w14:textId="15E9291C" w:rsidR="00E732AF" w:rsidRDefault="00E732AF" w:rsidP="00E732AF">
      <w:pPr>
        <w:pStyle w:val="FootnoteText"/>
        <w:jc w:val="both"/>
      </w:pPr>
      <w:r>
        <w:rPr>
          <w:rStyle w:val="FootnoteReference"/>
        </w:rPr>
        <w:footnoteRef/>
      </w:r>
      <w:r>
        <w:t xml:space="preserve"> Saskaņā ar Direktīvas 89/665 2a.panta 2.punkta otro daļu </w:t>
      </w:r>
      <w:r w:rsidRPr="008640E7">
        <w:t>Izslēgšana ir galīga, ja tā ir paziņota attiecīgajiem pretendentiem un ja vai nu neatkarīga pārskatīšanas struktūra to ir atzinusi par likumīgu, vai arī tai vairs nevar piemērot pārskatīšanas procedūru.</w:t>
      </w:r>
    </w:p>
  </w:footnote>
  <w:footnote w:id="15">
    <w:p w14:paraId="17E5A02A" w14:textId="3F4B9E4A" w:rsidR="00E732AF" w:rsidRDefault="00E732AF" w:rsidP="00E732AF">
      <w:pPr>
        <w:pStyle w:val="FootnoteText"/>
        <w:jc w:val="both"/>
      </w:pPr>
      <w:r>
        <w:rPr>
          <w:rStyle w:val="FootnoteReference"/>
        </w:rPr>
        <w:footnoteRef/>
      </w:r>
      <w:r>
        <w:t xml:space="preserve"> Eiropas Savienības Tiesas 2016.gada 21.decembra spriedums lietā </w:t>
      </w:r>
      <w:r w:rsidRPr="007A3780">
        <w:rPr>
          <w:i/>
        </w:rPr>
        <w:t>Technische Gebäudebetreuung and Caverion Österreich</w:t>
      </w:r>
      <w:r>
        <w:t xml:space="preserve">, </w:t>
      </w:r>
      <w:r w:rsidRPr="00AC7F0C">
        <w:t>C-355/15</w:t>
      </w:r>
      <w:r>
        <w:t>, ECLI:EU:C:2016:988, 36.punkts.</w:t>
      </w:r>
    </w:p>
  </w:footnote>
  <w:footnote w:id="16">
    <w:p w14:paraId="68874E79" w14:textId="751E6935"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xml:space="preserve">, 34.punkts.  </w:t>
      </w:r>
    </w:p>
  </w:footnote>
  <w:footnote w:id="17">
    <w:p w14:paraId="7FA6E9CD" w14:textId="4C2C739D" w:rsidR="00E732AF" w:rsidRDefault="00E732AF" w:rsidP="00E732AF">
      <w:pPr>
        <w:pStyle w:val="FootnoteText"/>
        <w:jc w:val="both"/>
      </w:pPr>
      <w:r>
        <w:rPr>
          <w:rStyle w:val="FootnoteReference"/>
        </w:rPr>
        <w:footnoteRef/>
      </w:r>
      <w:r>
        <w:t xml:space="preserve"> Eiropas Savienības Tiesas 2005.gada 11.janvāra spriedums lietā </w:t>
      </w:r>
      <w:r w:rsidRPr="00BB715C">
        <w:rPr>
          <w:i/>
        </w:rPr>
        <w:t>Stadt Halle un RPL Lochau</w:t>
      </w:r>
      <w:r w:rsidRPr="00BB715C">
        <w:t xml:space="preserve">, C‑26/03, </w:t>
      </w:r>
      <w:r>
        <w:t>ECLI:EU:C:2005:5, 28.</w:t>
      </w:r>
      <w:r w:rsidRPr="00BB715C">
        <w:t>punkts</w:t>
      </w:r>
      <w:r>
        <w:t xml:space="preserve">. </w:t>
      </w:r>
    </w:p>
  </w:footnote>
  <w:footnote w:id="18">
    <w:p w14:paraId="34994134" w14:textId="67F2F55E"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xml:space="preserve">, 26., 27.punkts.  </w:t>
      </w:r>
    </w:p>
  </w:footnote>
  <w:footnote w:id="19">
    <w:p w14:paraId="2CBBF031" w14:textId="04A6478E"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xml:space="preserve">, 28.punkts.  </w:t>
      </w:r>
    </w:p>
  </w:footnote>
  <w:footnote w:id="20">
    <w:p w14:paraId="71F47141" w14:textId="5BC5DF7E"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xml:space="preserve">, 30.punkts, 2002.gada 12.decembra spriedums lietā </w:t>
      </w:r>
      <w:r w:rsidRPr="00A40B7B">
        <w:rPr>
          <w:i/>
        </w:rPr>
        <w:t>Universale-Bau u.c.</w:t>
      </w:r>
      <w:r w:rsidRPr="00A40B7B">
        <w:t>,</w:t>
      </w:r>
      <w:r>
        <w:t xml:space="preserve"> </w:t>
      </w:r>
      <w:r w:rsidRPr="00A40B7B">
        <w:t xml:space="preserve">C‑470/99, </w:t>
      </w:r>
      <w:r>
        <w:t>ECLI:</w:t>
      </w:r>
      <w:r w:rsidRPr="00A40B7B">
        <w:t>EU:C:2002:746, 74.punkts</w:t>
      </w:r>
      <w:r>
        <w:t xml:space="preserve">. </w:t>
      </w:r>
    </w:p>
  </w:footnote>
  <w:footnote w:id="21">
    <w:p w14:paraId="01366FD8" w14:textId="34A065EF"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xml:space="preserve">, 31.punkts, 2005.gada 11.janvāra spriedums lietā </w:t>
      </w:r>
      <w:r w:rsidRPr="00BB715C">
        <w:rPr>
          <w:i/>
        </w:rPr>
        <w:t>Stadt Halle un RPL Lochau</w:t>
      </w:r>
      <w:r w:rsidRPr="00BB715C">
        <w:t xml:space="preserve">, C‑26/03, </w:t>
      </w:r>
      <w:r>
        <w:t>ECLI:EU:C:2005:5, 38.</w:t>
      </w:r>
      <w:r w:rsidRPr="00BB715C">
        <w:t>punkts</w:t>
      </w:r>
      <w:r>
        <w:t>.</w:t>
      </w:r>
    </w:p>
  </w:footnote>
  <w:footnote w:id="22">
    <w:p w14:paraId="6D476911" w14:textId="1A8A2EB6" w:rsidR="00E732AF" w:rsidRDefault="00E732AF" w:rsidP="00E732AF">
      <w:pPr>
        <w:pStyle w:val="FootnoteText"/>
        <w:jc w:val="both"/>
      </w:pPr>
      <w:r>
        <w:rPr>
          <w:rStyle w:val="FootnoteReference"/>
        </w:rPr>
        <w:footnoteRef/>
      </w:r>
      <w:r>
        <w:t xml:space="preserve"> Eiropas Savienības Tiesas 2017.gada 5.aprīļa spriedums lietā </w:t>
      </w:r>
      <w:r w:rsidRPr="00F56CAF">
        <w:rPr>
          <w:i/>
        </w:rPr>
        <w:t>Marina del Mediterráneo</w:t>
      </w:r>
      <w:r>
        <w:t xml:space="preserve">, C-391/15, </w:t>
      </w:r>
      <w:r w:rsidRPr="00F56CAF">
        <w:t>ECLI:EU:C:2017:268</w:t>
      </w:r>
      <w:r>
        <w:t>, 32., 33.punkts.</w:t>
      </w:r>
    </w:p>
  </w:footnote>
  <w:footnote w:id="23">
    <w:p w14:paraId="0EE39C26" w14:textId="32A8130A"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36.punkts, 2014.gada 6.novembra spriedums lietā </w:t>
      </w:r>
      <w:r w:rsidRPr="00D77378">
        <w:rPr>
          <w:i/>
        </w:rPr>
        <w:t>Cartiera dell’Adda</w:t>
      </w:r>
      <w:r w:rsidRPr="00216395">
        <w:t xml:space="preserve">, C‑42/13, </w:t>
      </w:r>
      <w:r>
        <w:t>ECLI:EU:C:2014:2345, 44.</w:t>
      </w:r>
      <w:r w:rsidRPr="00216395">
        <w:t>punkts</w:t>
      </w:r>
      <w:r>
        <w:t xml:space="preserve">. </w:t>
      </w:r>
    </w:p>
  </w:footnote>
  <w:footnote w:id="24">
    <w:p w14:paraId="38BA0C7C" w14:textId="6EBF6D27"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37.punkts, 2006.gada 9.februāra spriedums apvienotajās lietās </w:t>
      </w:r>
      <w:r w:rsidRPr="008C28C9">
        <w:rPr>
          <w:i/>
        </w:rPr>
        <w:t>La Cascina u.c.</w:t>
      </w:r>
      <w:r w:rsidRPr="008C02BF">
        <w:t xml:space="preserve">, C‑226/04 un C‑228/04, </w:t>
      </w:r>
      <w:r>
        <w:t>ECLI:</w:t>
      </w:r>
      <w:r w:rsidRPr="008C02BF">
        <w:t>EU:C:2006:94,</w:t>
      </w:r>
      <w:r>
        <w:t xml:space="preserve"> 32.</w:t>
      </w:r>
      <w:r w:rsidRPr="008C02BF">
        <w:t>punkts</w:t>
      </w:r>
      <w:r>
        <w:t xml:space="preserve">. </w:t>
      </w:r>
    </w:p>
  </w:footnote>
  <w:footnote w:id="25">
    <w:p w14:paraId="2B2A9751" w14:textId="07C03781" w:rsidR="00E732AF" w:rsidRDefault="00E732AF" w:rsidP="00E732AF">
      <w:pPr>
        <w:pStyle w:val="FootnoteText"/>
        <w:jc w:val="both"/>
      </w:pPr>
      <w:r>
        <w:rPr>
          <w:rStyle w:val="FootnoteReference"/>
        </w:rPr>
        <w:footnoteRef/>
      </w:r>
      <w:r>
        <w:t xml:space="preserve"> Eiropas Savienības Tiesas 2017.gada 5.aprīļa spriedums lietā </w:t>
      </w:r>
      <w:r w:rsidRPr="00A13201">
        <w:rPr>
          <w:i/>
        </w:rPr>
        <w:t>Borta</w:t>
      </w:r>
      <w:r>
        <w:t xml:space="preserve">, C-298/15, </w:t>
      </w:r>
      <w:r w:rsidRPr="00A13201">
        <w:t>ECLI:EU:C:2017:266</w:t>
      </w:r>
      <w:r>
        <w:t xml:space="preserve">, 70.punkts, 2012.gada 10.maija spriedums lietā </w:t>
      </w:r>
      <w:r w:rsidRPr="003F5477">
        <w:rPr>
          <w:i/>
        </w:rPr>
        <w:t>Komisija/Nīderlande</w:t>
      </w:r>
      <w:r w:rsidRPr="003F5477">
        <w:t xml:space="preserve">, C‑368/10, </w:t>
      </w:r>
      <w:r>
        <w:t>ECLI:EU:C:2012:284, 55.</w:t>
      </w:r>
      <w:r w:rsidRPr="003F5477">
        <w:t xml:space="preserve">punkts, </w:t>
      </w:r>
      <w:r>
        <w:t xml:space="preserve">2015.gada 16.aprīļa spriedums lietā </w:t>
      </w:r>
      <w:r w:rsidRPr="003F5477">
        <w:rPr>
          <w:i/>
        </w:rPr>
        <w:t>Enterprise Focused Solutions</w:t>
      </w:r>
      <w:r w:rsidRPr="003F5477">
        <w:t xml:space="preserve">, C‑278/14, </w:t>
      </w:r>
      <w:r>
        <w:t>ECLI:EU:C:2015:228, 27.–29.</w:t>
      </w:r>
      <w:r w:rsidRPr="003F5477">
        <w:t>punkts</w:t>
      </w:r>
      <w:r>
        <w:t xml:space="preserve">. </w:t>
      </w:r>
    </w:p>
  </w:footnote>
  <w:footnote w:id="26">
    <w:p w14:paraId="6C5FBC0D" w14:textId="2C530EF4" w:rsidR="00E732AF" w:rsidRDefault="00E732AF" w:rsidP="00E732AF">
      <w:pPr>
        <w:pStyle w:val="FootnoteText"/>
        <w:jc w:val="both"/>
      </w:pPr>
      <w:r>
        <w:rPr>
          <w:rStyle w:val="FootnoteReference"/>
        </w:rPr>
        <w:footnoteRef/>
      </w:r>
      <w:r>
        <w:t xml:space="preserve"> Eiropas Savienības Tiesas 2017.gada 5.aprīļa spriedums lietā </w:t>
      </w:r>
      <w:r w:rsidRPr="00A13201">
        <w:rPr>
          <w:i/>
        </w:rPr>
        <w:t>Borta</w:t>
      </w:r>
      <w:r>
        <w:t xml:space="preserve">, C-298/15, </w:t>
      </w:r>
      <w:r w:rsidRPr="00A13201">
        <w:t>ECLI:EU:C:2017:266</w:t>
      </w:r>
      <w:r>
        <w:t xml:space="preserve">, 71., 72.punkts, </w:t>
      </w:r>
      <w:r w:rsidRPr="006776B9">
        <w:t>pēc analoģijas sk.</w:t>
      </w:r>
      <w:r>
        <w:t xml:space="preserve"> 2012.gada 29.marta spriedumu lietā </w:t>
      </w:r>
      <w:r w:rsidRPr="006776B9">
        <w:rPr>
          <w:i/>
        </w:rPr>
        <w:t>SAG ELV Slovensko u.c.</w:t>
      </w:r>
      <w:r w:rsidRPr="006776B9">
        <w:t xml:space="preserve">, C‑599/10, </w:t>
      </w:r>
      <w:r>
        <w:t>ECLI:EU:C:2012:191, 40.</w:t>
      </w:r>
      <w:r w:rsidRPr="006776B9">
        <w:t>punkts</w:t>
      </w:r>
      <w:r>
        <w:t xml:space="preserve">. </w:t>
      </w:r>
    </w:p>
  </w:footnote>
  <w:footnote w:id="27">
    <w:p w14:paraId="1A53473C" w14:textId="27C84919" w:rsidR="00E732AF" w:rsidRDefault="00E732AF" w:rsidP="00E732AF">
      <w:pPr>
        <w:pStyle w:val="FootnoteText"/>
        <w:jc w:val="both"/>
      </w:pPr>
      <w:r>
        <w:rPr>
          <w:rStyle w:val="FootnoteReference"/>
        </w:rPr>
        <w:footnoteRef/>
      </w:r>
      <w:r>
        <w:t xml:space="preserve"> Eiropas Savienības Tiesas 2017.gada 5.aprīļa spriedums lietā </w:t>
      </w:r>
      <w:r w:rsidRPr="00A13201">
        <w:rPr>
          <w:i/>
        </w:rPr>
        <w:t>Borta</w:t>
      </w:r>
      <w:r>
        <w:t xml:space="preserve">, C-298/15, </w:t>
      </w:r>
      <w:r w:rsidRPr="00A13201">
        <w:t>ECLI:EU:C:2017:266</w:t>
      </w:r>
      <w:r>
        <w:t xml:space="preserve">, 71., 74. – 76.punkts. </w:t>
      </w:r>
    </w:p>
  </w:footnote>
  <w:footnote w:id="28">
    <w:p w14:paraId="13D24C5A" w14:textId="77777777" w:rsidR="00E732AF" w:rsidRDefault="00E732AF" w:rsidP="00E732AF">
      <w:pPr>
        <w:pStyle w:val="FootnoteText"/>
        <w:jc w:val="both"/>
      </w:pPr>
      <w:r>
        <w:rPr>
          <w:rStyle w:val="FootnoteReference"/>
        </w:rPr>
        <w:footnoteRef/>
      </w:r>
      <w:r>
        <w:t xml:space="preserve"> Eiropas Savienības Tiesas 2016.gada 14.jūlija spriedums lietā </w:t>
      </w:r>
      <w:r w:rsidRPr="00813168">
        <w:rPr>
          <w:i/>
        </w:rPr>
        <w:t>Dimarso</w:t>
      </w:r>
      <w:r>
        <w:t xml:space="preserve">, </w:t>
      </w:r>
      <w:r w:rsidRPr="00C7060F">
        <w:t>C-6/15</w:t>
      </w:r>
      <w:r>
        <w:t xml:space="preserve">, </w:t>
      </w:r>
      <w:r w:rsidRPr="00420515">
        <w:t>ECLI:EU:C:2016:555</w:t>
      </w:r>
      <w:r>
        <w:t xml:space="preserve">, 23.punkts,  2011.gada 21.jūlija spriedums lietā </w:t>
      </w:r>
      <w:r w:rsidRPr="00C30B0B">
        <w:rPr>
          <w:i/>
        </w:rPr>
        <w:t>Evropaïki Dynamiki/EMSA</w:t>
      </w:r>
      <w:r w:rsidRPr="00C35CE0">
        <w:t xml:space="preserve">, C‑252/10 P, </w:t>
      </w:r>
      <w:r>
        <w:t>ELCI:EU:C:2011:512, 31.</w:t>
      </w:r>
      <w:r w:rsidRPr="00C35CE0">
        <w:t>punkts</w:t>
      </w:r>
      <w:r>
        <w:t xml:space="preserve">. </w:t>
      </w:r>
    </w:p>
  </w:footnote>
  <w:footnote w:id="29">
    <w:p w14:paraId="60EA4E8A" w14:textId="35BC2B4D" w:rsidR="00E732AF" w:rsidRDefault="00E732AF" w:rsidP="00E732AF">
      <w:pPr>
        <w:pStyle w:val="FootnoteText"/>
        <w:jc w:val="both"/>
      </w:pPr>
      <w:r>
        <w:rPr>
          <w:rStyle w:val="FootnoteReference"/>
        </w:rPr>
        <w:footnoteRef/>
      </w:r>
      <w:r>
        <w:t xml:space="preserve"> Eiropas Savienības Tiesas 2016.gada 14.jūlija spriedums lietā </w:t>
      </w:r>
      <w:r w:rsidRPr="00813168">
        <w:rPr>
          <w:i/>
        </w:rPr>
        <w:t>Dimarso</w:t>
      </w:r>
      <w:r>
        <w:t xml:space="preserve">, </w:t>
      </w:r>
      <w:r w:rsidRPr="00C7060F">
        <w:t>C-6/15</w:t>
      </w:r>
      <w:r>
        <w:t xml:space="preserve">, </w:t>
      </w:r>
      <w:r w:rsidRPr="00420515">
        <w:t>ECLI:EU:C:2016:555</w:t>
      </w:r>
      <w:r>
        <w:t xml:space="preserve">, 25.punkts. </w:t>
      </w:r>
    </w:p>
  </w:footnote>
  <w:footnote w:id="30">
    <w:p w14:paraId="58745B50" w14:textId="256B9709" w:rsidR="00E732AF" w:rsidRDefault="00E732AF" w:rsidP="00E732AF">
      <w:pPr>
        <w:pStyle w:val="FootnoteText"/>
        <w:jc w:val="both"/>
      </w:pPr>
      <w:r>
        <w:rPr>
          <w:rStyle w:val="FootnoteReference"/>
        </w:rPr>
        <w:footnoteRef/>
      </w:r>
      <w:r>
        <w:t xml:space="preserve"> Eiropas Savienības Tiesas 2016.gada 14.jūlija spriedums lietā </w:t>
      </w:r>
      <w:r w:rsidRPr="00813168">
        <w:rPr>
          <w:i/>
        </w:rPr>
        <w:t>Dimarso</w:t>
      </w:r>
      <w:r>
        <w:t xml:space="preserve">, </w:t>
      </w:r>
      <w:r w:rsidRPr="00C7060F">
        <w:t>C-6/15</w:t>
      </w:r>
      <w:r>
        <w:t xml:space="preserve">, </w:t>
      </w:r>
      <w:r w:rsidRPr="00420515">
        <w:t>ECLI:EU:C:2016:555</w:t>
      </w:r>
      <w:r>
        <w:t xml:space="preserve">, 26.punkts, 2011.gada 21.jūlija spriedums lietā </w:t>
      </w:r>
      <w:r w:rsidRPr="00E43B41">
        <w:rPr>
          <w:i/>
        </w:rPr>
        <w:t>Evropaïki Dynamiki/EMSA</w:t>
      </w:r>
      <w:r w:rsidRPr="00E43B41">
        <w:t xml:space="preserve">, C‑252/10 P, </w:t>
      </w:r>
      <w:r>
        <w:t>ECLI:EU:C:2011:512, 33.</w:t>
      </w:r>
      <w:r w:rsidRPr="00E43B41">
        <w:t>punkts</w:t>
      </w:r>
      <w:r>
        <w:t xml:space="preserve">. </w:t>
      </w:r>
    </w:p>
  </w:footnote>
  <w:footnote w:id="31">
    <w:p w14:paraId="4CAC658A" w14:textId="7E9AEED7" w:rsidR="00E732AF" w:rsidRDefault="00E732AF" w:rsidP="00E732AF">
      <w:pPr>
        <w:pStyle w:val="FootnoteText"/>
        <w:jc w:val="both"/>
      </w:pPr>
      <w:r>
        <w:rPr>
          <w:rStyle w:val="FootnoteReference"/>
        </w:rPr>
        <w:footnoteRef/>
      </w:r>
      <w:r>
        <w:t xml:space="preserve"> Eiropas Savienības Tiesas 2016.gada 14.jūlija spriedums lietā </w:t>
      </w:r>
      <w:r w:rsidRPr="00813168">
        <w:rPr>
          <w:i/>
        </w:rPr>
        <w:t>Dimarso</w:t>
      </w:r>
      <w:r>
        <w:t xml:space="preserve">, </w:t>
      </w:r>
      <w:r w:rsidRPr="00C7060F">
        <w:t>C-6/15</w:t>
      </w:r>
      <w:r>
        <w:t xml:space="preserve">, </w:t>
      </w:r>
      <w:r w:rsidRPr="00420515">
        <w:t>ECLI:EU:C:2016:555</w:t>
      </w:r>
      <w:r>
        <w:t xml:space="preserve">, 27.punkts. </w:t>
      </w:r>
    </w:p>
  </w:footnote>
  <w:footnote w:id="32">
    <w:p w14:paraId="29F56581" w14:textId="190003B8" w:rsidR="00E732AF" w:rsidRDefault="00E732AF" w:rsidP="00E732AF">
      <w:pPr>
        <w:pStyle w:val="FootnoteText"/>
        <w:jc w:val="both"/>
      </w:pPr>
      <w:r>
        <w:rPr>
          <w:rStyle w:val="FootnoteReference"/>
        </w:rPr>
        <w:footnoteRef/>
      </w:r>
      <w:r>
        <w:t xml:space="preserve"> Eiropas Savienības Tiesas 2016.gada 14.jūlija spriedums lietā </w:t>
      </w:r>
      <w:r w:rsidRPr="00813168">
        <w:rPr>
          <w:i/>
        </w:rPr>
        <w:t>Dimarso</w:t>
      </w:r>
      <w:r>
        <w:t xml:space="preserve">, </w:t>
      </w:r>
      <w:r w:rsidRPr="00C7060F">
        <w:t>C-6/15</w:t>
      </w:r>
      <w:r>
        <w:t xml:space="preserve">, </w:t>
      </w:r>
      <w:r w:rsidRPr="00420515">
        <w:t>ECLI:EU:C:2016:555</w:t>
      </w:r>
      <w:r>
        <w:t xml:space="preserve">, 27.–32.punkts. </w:t>
      </w:r>
    </w:p>
  </w:footnote>
  <w:footnote w:id="33">
    <w:p w14:paraId="5AC7318C" w14:textId="77777777" w:rsidR="00E732AF" w:rsidRDefault="00E732AF" w:rsidP="00E732AF">
      <w:pPr>
        <w:pStyle w:val="FootnoteText"/>
        <w:jc w:val="both"/>
      </w:pPr>
      <w:r>
        <w:rPr>
          <w:rStyle w:val="FootnoteReference"/>
        </w:rPr>
        <w:footnoteRef/>
      </w:r>
      <w:r>
        <w:t xml:space="preserve"> Eiropas Savienības Tiesas 2016.gada 14.jūlija spriedums lietā </w:t>
      </w:r>
      <w:r w:rsidRPr="00416AD7">
        <w:rPr>
          <w:i/>
        </w:rPr>
        <w:t>Wrocław - Miasto na prawach powiatu</w:t>
      </w:r>
      <w:r>
        <w:t xml:space="preserve">, </w:t>
      </w:r>
      <w:r w:rsidRPr="00F258C2">
        <w:t>C‑406/14</w:t>
      </w:r>
      <w:r>
        <w:t xml:space="preserve">, </w:t>
      </w:r>
      <w:r w:rsidRPr="00F258C2">
        <w:t>ECLI:EU:C:2016:562</w:t>
      </w:r>
      <w:r>
        <w:t xml:space="preserve">, 31., 32.punkts,  2013.gada 10.oktobra spriedums lietā </w:t>
      </w:r>
      <w:r w:rsidRPr="006F0EF3">
        <w:rPr>
          <w:i/>
        </w:rPr>
        <w:t>Swm Costruzioni 2 un Mannocchi Luigino</w:t>
      </w:r>
      <w:r>
        <w:t>, C‑94/12, EU:C:2013:646.</w:t>
      </w:r>
    </w:p>
  </w:footnote>
  <w:footnote w:id="34">
    <w:p w14:paraId="034520F6" w14:textId="63BDD3B9" w:rsidR="00E732AF" w:rsidRDefault="00E732AF" w:rsidP="00E732AF">
      <w:pPr>
        <w:pStyle w:val="FootnoteText"/>
        <w:jc w:val="both"/>
      </w:pPr>
      <w:r>
        <w:rPr>
          <w:rStyle w:val="FootnoteReference"/>
        </w:rPr>
        <w:footnoteRef/>
      </w:r>
      <w:r>
        <w:t xml:space="preserve"> Eiropas Savienības Tiesas 2016.gada 14.jūlija spriedums lietā </w:t>
      </w:r>
      <w:r w:rsidRPr="00416AD7">
        <w:rPr>
          <w:i/>
        </w:rPr>
        <w:t>Wrocław - Miasto na prawach powiatu</w:t>
      </w:r>
      <w:r>
        <w:t xml:space="preserve">, </w:t>
      </w:r>
      <w:r w:rsidRPr="00F258C2">
        <w:t>C‑406/14</w:t>
      </w:r>
      <w:r>
        <w:t xml:space="preserve">, </w:t>
      </w:r>
      <w:r w:rsidRPr="00F258C2">
        <w:t>ECLI:EU:C:2016:562</w:t>
      </w:r>
      <w:r>
        <w:t xml:space="preserve">, 34.punkts, 2004.gada 18.marta spriedums lietā </w:t>
      </w:r>
      <w:r w:rsidRPr="00315D03">
        <w:rPr>
          <w:i/>
        </w:rPr>
        <w:t>Siemens un ARGE Telekom</w:t>
      </w:r>
      <w:r w:rsidRPr="00315D03">
        <w:t xml:space="preserve">, C‑314/01, </w:t>
      </w:r>
      <w:r>
        <w:t>ECLI:EU:C:2004:159, 45.</w:t>
      </w:r>
      <w:r w:rsidRPr="00315D03">
        <w:t>punkts</w:t>
      </w:r>
      <w:r>
        <w:t xml:space="preserve">. </w:t>
      </w:r>
    </w:p>
  </w:footnote>
  <w:footnote w:id="35">
    <w:p w14:paraId="134BB9DA" w14:textId="3D4F9BAA" w:rsidR="00E732AF" w:rsidRDefault="00E732AF" w:rsidP="00E732AF">
      <w:pPr>
        <w:pStyle w:val="FootnoteText"/>
        <w:jc w:val="both"/>
      </w:pPr>
      <w:r>
        <w:rPr>
          <w:rStyle w:val="FootnoteReference"/>
        </w:rPr>
        <w:footnoteRef/>
      </w:r>
      <w:r>
        <w:t xml:space="preserve"> Eiropas Savienības Tiesas 2016.gada 14.jūlija spriedums lietā </w:t>
      </w:r>
      <w:r w:rsidRPr="00416AD7">
        <w:rPr>
          <w:i/>
        </w:rPr>
        <w:t>Wrocław - Miasto na prawach powiatu</w:t>
      </w:r>
      <w:r>
        <w:t xml:space="preserve">, </w:t>
      </w:r>
      <w:r w:rsidRPr="00F258C2">
        <w:t>C‑406/14</w:t>
      </w:r>
      <w:r>
        <w:t xml:space="preserve">, </w:t>
      </w:r>
      <w:r w:rsidRPr="00F258C2">
        <w:t>ECLI:EU:C:2016:562</w:t>
      </w:r>
      <w:r>
        <w:t xml:space="preserve">, 35.–37.punkts. </w:t>
      </w:r>
    </w:p>
  </w:footnote>
  <w:footnote w:id="36">
    <w:p w14:paraId="621FDA94" w14:textId="1BA5697E" w:rsidR="00E732AF" w:rsidRPr="00B45E94"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xml:space="preserve">, 33., 34.punkts, 2017.gada 5.aprīļa spriedums lietā </w:t>
      </w:r>
      <w:r w:rsidRPr="00A13201">
        <w:rPr>
          <w:i/>
        </w:rPr>
        <w:t>Borta</w:t>
      </w:r>
      <w:r>
        <w:t xml:space="preserve">, C-298/15, </w:t>
      </w:r>
      <w:r w:rsidRPr="00A13201">
        <w:t>ECLI:EU:C:2017:266</w:t>
      </w:r>
      <w:r>
        <w:t xml:space="preserve">, 48.punkts, 2016.gada 2.jūnija spriedums lietā </w:t>
      </w:r>
      <w:r w:rsidRPr="00D55EEF">
        <w:rPr>
          <w:i/>
        </w:rPr>
        <w:t>Pippo Pizzo</w:t>
      </w:r>
      <w:r>
        <w:t xml:space="preserve">,  </w:t>
      </w:r>
      <w:r w:rsidRPr="00D55EEF">
        <w:t>C-27/15</w:t>
      </w:r>
      <w:r>
        <w:t xml:space="preserve">, </w:t>
      </w:r>
      <w:r w:rsidRPr="00183700">
        <w:t>ECLI:EU:C:2016:404</w:t>
      </w:r>
      <w:r>
        <w:t>, 27.punkts.</w:t>
      </w:r>
    </w:p>
  </w:footnote>
  <w:footnote w:id="37">
    <w:p w14:paraId="53D2C0B9" w14:textId="1C004852"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xml:space="preserve">, 37.punkts, 1999.gada 2.decembra spriedums lietā </w:t>
      </w:r>
      <w:r w:rsidRPr="00982045">
        <w:rPr>
          <w:i/>
        </w:rPr>
        <w:t>Holst Italia</w:t>
      </w:r>
      <w:r>
        <w:t xml:space="preserve">, </w:t>
      </w:r>
      <w:r w:rsidRPr="00E841B8">
        <w:t>C-176/98</w:t>
      </w:r>
      <w:r>
        <w:t xml:space="preserve">, </w:t>
      </w:r>
      <w:r w:rsidRPr="00E841B8">
        <w:t>ECLI:EU:C:1999:593</w:t>
      </w:r>
      <w:r>
        <w:t>, 29.punkts.</w:t>
      </w:r>
    </w:p>
  </w:footnote>
  <w:footnote w:id="38">
    <w:p w14:paraId="4FEF0154" w14:textId="29580938" w:rsidR="00E732AF" w:rsidRDefault="00E732AF" w:rsidP="00E732AF">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30.punkts , 1999.gada 2.decembra spriedums lietā </w:t>
      </w:r>
      <w:r w:rsidRPr="00982045">
        <w:rPr>
          <w:i/>
        </w:rPr>
        <w:t>Holst Italia</w:t>
      </w:r>
      <w:r>
        <w:t xml:space="preserve">, </w:t>
      </w:r>
      <w:r w:rsidRPr="00E841B8">
        <w:t>C-176/98</w:t>
      </w:r>
      <w:r>
        <w:t xml:space="preserve">, </w:t>
      </w:r>
      <w:r w:rsidRPr="00E841B8">
        <w:t>ECLI:EU:C:1999:593</w:t>
      </w:r>
      <w:r>
        <w:t>, 29.punkts.</w:t>
      </w:r>
    </w:p>
  </w:footnote>
  <w:footnote w:id="39">
    <w:p w14:paraId="6E64E194" w14:textId="43FA3CCD"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37.punkts.</w:t>
      </w:r>
    </w:p>
  </w:footnote>
  <w:footnote w:id="40">
    <w:p w14:paraId="6B413A17" w14:textId="6018323F" w:rsidR="00E732AF" w:rsidRDefault="00E732AF" w:rsidP="00E732AF">
      <w:pPr>
        <w:pStyle w:val="FootnoteText"/>
        <w:jc w:val="both"/>
      </w:pPr>
      <w:r>
        <w:rPr>
          <w:rStyle w:val="FootnoteReference"/>
        </w:rPr>
        <w:footnoteRef/>
      </w:r>
      <w:r>
        <w:t xml:space="preserve"> Eiropas Savienības Tiesas 2013.gada 10.oktobra spriedums lietā </w:t>
      </w:r>
      <w:r w:rsidRPr="006F0EF3">
        <w:rPr>
          <w:i/>
        </w:rPr>
        <w:t>Swm Costruzioni 2 un Mannocchi Luigino</w:t>
      </w:r>
      <w:r>
        <w:t xml:space="preserve">, C‑94/12, ECLI:EU:C:2013:646, 36.punkts. </w:t>
      </w:r>
    </w:p>
  </w:footnote>
  <w:footnote w:id="41">
    <w:p w14:paraId="095759C7" w14:textId="7A428A76"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xml:space="preserve">, 33., 38.punkts, Eiropas Savienības Tiesas 2016.gada 2.jūnija spriedums lietā </w:t>
      </w:r>
      <w:r w:rsidRPr="00D55EEF">
        <w:rPr>
          <w:i/>
        </w:rPr>
        <w:t>Pippo Pizzo</w:t>
      </w:r>
      <w:r>
        <w:t xml:space="preserve">,  </w:t>
      </w:r>
      <w:r w:rsidRPr="00D55EEF">
        <w:t>C-27/15</w:t>
      </w:r>
      <w:r>
        <w:t xml:space="preserve">, </w:t>
      </w:r>
      <w:r w:rsidRPr="00183700">
        <w:t>ECLI:EU:C:2016:404</w:t>
      </w:r>
      <w:r>
        <w:t xml:space="preserve">, 28.punkts, 2013.gada 10.oktobra spriedums lietā </w:t>
      </w:r>
      <w:r w:rsidRPr="006F0EF3">
        <w:rPr>
          <w:i/>
        </w:rPr>
        <w:t>Swm Costruzioni 2 un Mannocchi Luigino</w:t>
      </w:r>
      <w:r>
        <w:t>, C‑94/12, EU:C:2013:646, 35.punkts.</w:t>
      </w:r>
    </w:p>
  </w:footnote>
  <w:footnote w:id="42">
    <w:p w14:paraId="2AE5A058" w14:textId="542A0784"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41.punkts.</w:t>
      </w:r>
    </w:p>
  </w:footnote>
  <w:footnote w:id="43">
    <w:p w14:paraId="67578629" w14:textId="335B5BC8"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xml:space="preserve">, 48.punkts. </w:t>
      </w:r>
    </w:p>
  </w:footnote>
  <w:footnote w:id="44">
    <w:p w14:paraId="3B373239" w14:textId="77AC6C1F" w:rsidR="00E732AF" w:rsidRDefault="00E732AF" w:rsidP="00E732AF">
      <w:pPr>
        <w:pStyle w:val="FootnoteText"/>
        <w:jc w:val="both"/>
      </w:pPr>
      <w:r>
        <w:rPr>
          <w:rStyle w:val="FootnoteReference"/>
        </w:rPr>
        <w:footnoteRef/>
      </w:r>
      <w:r>
        <w:t xml:space="preserve"> Eiropas Savienības Tiesas </w:t>
      </w:r>
      <w:r w:rsidRPr="00A2185F">
        <w:t>2016.</w:t>
      </w:r>
      <w:r>
        <w:t xml:space="preserve">gada 14.janvāra spriedums lietā </w:t>
      </w:r>
      <w:r w:rsidRPr="00A2185F">
        <w:rPr>
          <w:i/>
        </w:rPr>
        <w:t>Ostas celtnieks</w:t>
      </w:r>
      <w:r w:rsidRPr="00A2185F">
        <w:t xml:space="preserve">, C‑234/14, </w:t>
      </w:r>
      <w:r>
        <w:t>ECLI:EU:C:2016:6, 28.</w:t>
      </w:r>
      <w:r w:rsidRPr="00A2185F">
        <w:t>punkts</w:t>
      </w:r>
      <w:r>
        <w:t xml:space="preserve">. </w:t>
      </w:r>
    </w:p>
  </w:footnote>
  <w:footnote w:id="45">
    <w:p w14:paraId="22554EE1" w14:textId="5E519370"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52., 53.punkts.</w:t>
      </w:r>
    </w:p>
  </w:footnote>
  <w:footnote w:id="46">
    <w:p w14:paraId="017E7A7F" w14:textId="0024E80E" w:rsidR="00E732AF" w:rsidRDefault="00E732AF" w:rsidP="00E732AF">
      <w:pPr>
        <w:pStyle w:val="FootnoteText"/>
        <w:jc w:val="both"/>
      </w:pPr>
      <w:r>
        <w:rPr>
          <w:rStyle w:val="FootnoteReference"/>
        </w:rPr>
        <w:footnoteRef/>
      </w:r>
      <w:r>
        <w:t xml:space="preserve"> Eiropas Savienības Tiesas 2017.gada 5.aprīļa spriedums lietā </w:t>
      </w:r>
      <w:r w:rsidRPr="00A13201">
        <w:rPr>
          <w:i/>
        </w:rPr>
        <w:t>Borta</w:t>
      </w:r>
      <w:r>
        <w:t xml:space="preserve">, C-298/15, </w:t>
      </w:r>
      <w:r w:rsidRPr="00A13201">
        <w:t>ECLI:EU:C:2017:266</w:t>
      </w:r>
      <w:r>
        <w:t xml:space="preserve">, 88.punkts. </w:t>
      </w:r>
    </w:p>
  </w:footnote>
  <w:footnote w:id="47">
    <w:p w14:paraId="53A01D37" w14:textId="07B035A7" w:rsidR="00E732AF" w:rsidRDefault="00E732AF" w:rsidP="00E732AF">
      <w:pPr>
        <w:pStyle w:val="FootnoteText"/>
        <w:jc w:val="both"/>
      </w:pPr>
      <w:r>
        <w:rPr>
          <w:rStyle w:val="FootnoteReference"/>
        </w:rPr>
        <w:footnoteRef/>
      </w:r>
      <w:r>
        <w:t xml:space="preserve"> Eiropas Savienības Tiesas 2016.gada 7.aprīļa spriedums lietā </w:t>
      </w:r>
      <w:r w:rsidRPr="005C63F7">
        <w:rPr>
          <w:i/>
        </w:rPr>
        <w:t>Partner Apelski Dariusz</w:t>
      </w:r>
      <w:r>
        <w:rPr>
          <w:i/>
        </w:rPr>
        <w:t xml:space="preserve">, </w:t>
      </w:r>
      <w:r>
        <w:t xml:space="preserve">C-324/14, </w:t>
      </w:r>
      <w:r w:rsidRPr="00B45E94">
        <w:t>ECLI:EU:C:2016:214</w:t>
      </w:r>
      <w:r>
        <w:t>, 54.–58.punkts.</w:t>
      </w:r>
    </w:p>
  </w:footnote>
  <w:footnote w:id="48">
    <w:p w14:paraId="114D5663" w14:textId="1CF12D28" w:rsidR="00E732AF" w:rsidRDefault="00E732AF" w:rsidP="00E732AF">
      <w:pPr>
        <w:pStyle w:val="FootnoteText"/>
        <w:jc w:val="both"/>
      </w:pPr>
      <w:r>
        <w:rPr>
          <w:rStyle w:val="FootnoteReference"/>
        </w:rPr>
        <w:footnoteRef/>
      </w:r>
      <w:r>
        <w:t xml:space="preserve"> Eiropas Savienības Tiesas 2016.gada 14.decembra spriedums lietā </w:t>
      </w:r>
      <w:r w:rsidRPr="00E26D97">
        <w:rPr>
          <w:i/>
        </w:rPr>
        <w:t>Connexxion Taxi Services</w:t>
      </w:r>
      <w:r>
        <w:t xml:space="preserve">, </w:t>
      </w:r>
      <w:r w:rsidRPr="00F07894">
        <w:t>C-171/15</w:t>
      </w:r>
      <w:r>
        <w:t xml:space="preserve">, </w:t>
      </w:r>
      <w:r w:rsidRPr="006B745A">
        <w:t>ECLI:EU:C:2016:948</w:t>
      </w:r>
      <w:r>
        <w:t xml:space="preserve">, 28.punkts,  </w:t>
      </w:r>
      <w:r>
        <w:rPr>
          <w:rFonts w:ascii="TimesNewRomanPSMT" w:eastAsiaTheme="minorHAnsi" w:hAnsi="TimesNewRomanPSMT" w:cs="TimesNewRomanPSMT"/>
        </w:rPr>
        <w:t xml:space="preserve">2014.gada 10.jūlija spriedums lietā </w:t>
      </w:r>
      <w:r w:rsidRPr="00873E5F">
        <w:rPr>
          <w:rFonts w:ascii="TimesNewRomanPSMT" w:eastAsiaTheme="minorHAnsi" w:hAnsi="TimesNewRomanPSMT" w:cs="TimesNewRomanPSMT"/>
          <w:i/>
        </w:rPr>
        <w:t>Consorzio Stabile Libor Lavori Pubblici</w:t>
      </w:r>
      <w:r>
        <w:rPr>
          <w:rFonts w:ascii="TimesNewRomanPSMT" w:eastAsiaTheme="minorHAnsi" w:hAnsi="TimesNewRomanPSMT" w:cs="TimesNewRomanPSMT"/>
        </w:rPr>
        <w:t>, C‑358/12, EU:C:2014:2063, 35.</w:t>
      </w:r>
      <w:r w:rsidRPr="004C32BE">
        <w:rPr>
          <w:rFonts w:ascii="TimesNewRomanPSMT" w:eastAsiaTheme="minorHAnsi" w:hAnsi="TimesNewRomanPSMT" w:cs="TimesNewRomanPSMT"/>
        </w:rPr>
        <w:t>punkts</w:t>
      </w:r>
      <w:r>
        <w:rPr>
          <w:rFonts w:ascii="TimesNewRomanPSMT" w:eastAsiaTheme="minorHAnsi" w:hAnsi="TimesNewRomanPSMT" w:cs="TimesNewRomanPSMT"/>
        </w:rPr>
        <w:t xml:space="preserve">. </w:t>
      </w:r>
    </w:p>
  </w:footnote>
  <w:footnote w:id="49">
    <w:p w14:paraId="0B963266" w14:textId="18223B2A" w:rsidR="00E732AF" w:rsidRDefault="00E732AF" w:rsidP="00E732AF">
      <w:pPr>
        <w:pStyle w:val="FootnoteText"/>
        <w:jc w:val="both"/>
      </w:pPr>
      <w:r>
        <w:rPr>
          <w:rStyle w:val="FootnoteReference"/>
        </w:rPr>
        <w:footnoteRef/>
      </w:r>
      <w:r>
        <w:t xml:space="preserve"> Eiropas Savienības Tiesas 2016.gada 14.decembra spriedums lietā </w:t>
      </w:r>
      <w:r w:rsidRPr="00E26D97">
        <w:rPr>
          <w:i/>
        </w:rPr>
        <w:t>Connexxion Taxi Services</w:t>
      </w:r>
      <w:r>
        <w:t xml:space="preserve">, </w:t>
      </w:r>
      <w:r w:rsidRPr="00F07894">
        <w:t>C-171/15</w:t>
      </w:r>
      <w:r>
        <w:t xml:space="preserve">, </w:t>
      </w:r>
      <w:r w:rsidRPr="006B745A">
        <w:t>ECLI:EU:C:2016:948</w:t>
      </w:r>
      <w:r>
        <w:t xml:space="preserve">, 29.punkts, 2016.gada 10.novembra spriedums lietā </w:t>
      </w:r>
      <w:r w:rsidRPr="0050050B">
        <w:rPr>
          <w:i/>
        </w:rPr>
        <w:t>Ciclat</w:t>
      </w:r>
      <w:r>
        <w:t xml:space="preserve">, </w:t>
      </w:r>
      <w:r w:rsidRPr="00BE6EA9">
        <w:t>C‑199/15</w:t>
      </w:r>
      <w:r>
        <w:t xml:space="preserve">, </w:t>
      </w:r>
      <w:r w:rsidRPr="00860DFC">
        <w:t>ECLI:EU:C:2016:853</w:t>
      </w:r>
      <w:r>
        <w:t>,</w:t>
      </w:r>
      <w:r w:rsidRPr="0050050B">
        <w:t xml:space="preserve"> </w:t>
      </w:r>
      <w:r>
        <w:t xml:space="preserve">36.punkts, </w:t>
      </w:r>
      <w:r>
        <w:rPr>
          <w:rFonts w:ascii="TimesNewRomanPSMT" w:eastAsiaTheme="minorHAnsi" w:hAnsi="TimesNewRomanPSMT" w:cs="TimesNewRomanPSMT"/>
        </w:rPr>
        <w:t xml:space="preserve">2014.gada 10.jūlija spriedums lietā </w:t>
      </w:r>
      <w:r w:rsidRPr="00873E5F">
        <w:rPr>
          <w:rFonts w:ascii="TimesNewRomanPSMT" w:eastAsiaTheme="minorHAnsi" w:hAnsi="TimesNewRomanPSMT" w:cs="TimesNewRomanPSMT"/>
          <w:i/>
        </w:rPr>
        <w:t>Consorzio Stabile Libor Lavori Pubblici</w:t>
      </w:r>
      <w:r>
        <w:rPr>
          <w:rFonts w:ascii="TimesNewRomanPSMT" w:eastAsiaTheme="minorHAnsi" w:hAnsi="TimesNewRomanPSMT" w:cs="TimesNewRomanPSMT"/>
        </w:rPr>
        <w:t>, C‑358/12, EU:C:2014:2063, 36.</w:t>
      </w:r>
      <w:r w:rsidRPr="004C32BE">
        <w:rPr>
          <w:rFonts w:ascii="TimesNewRomanPSMT" w:eastAsiaTheme="minorHAnsi" w:hAnsi="TimesNewRomanPSMT" w:cs="TimesNewRomanPSMT"/>
        </w:rPr>
        <w:t>punkts</w:t>
      </w:r>
      <w:r>
        <w:rPr>
          <w:rFonts w:ascii="TimesNewRomanPSMT" w:eastAsiaTheme="minorHAnsi" w:hAnsi="TimesNewRomanPSMT" w:cs="TimesNewRomanPSMT"/>
        </w:rPr>
        <w:t>.</w:t>
      </w:r>
    </w:p>
  </w:footnote>
  <w:footnote w:id="50">
    <w:p w14:paraId="19D6EEE6" w14:textId="6B9C5C56" w:rsidR="00E732AF" w:rsidRDefault="00E732AF" w:rsidP="00E732AF">
      <w:pPr>
        <w:pStyle w:val="FootnoteText"/>
        <w:jc w:val="both"/>
      </w:pPr>
      <w:r>
        <w:rPr>
          <w:rStyle w:val="FootnoteReference"/>
        </w:rPr>
        <w:footnoteRef/>
      </w:r>
      <w:r>
        <w:t xml:space="preserve"> Eiropas Savienības Tiesas 2016.gada 10.novembra spriedums lietā </w:t>
      </w:r>
      <w:r w:rsidRPr="0050050B">
        <w:rPr>
          <w:i/>
        </w:rPr>
        <w:t>Ciclat</w:t>
      </w:r>
      <w:r>
        <w:t xml:space="preserve">, </w:t>
      </w:r>
      <w:r w:rsidRPr="00BE6EA9">
        <w:t>C‑199/15</w:t>
      </w:r>
      <w:r>
        <w:t xml:space="preserve">, </w:t>
      </w:r>
      <w:r w:rsidRPr="00860DFC">
        <w:t>ECLI:EU:C:2016:853</w:t>
      </w:r>
      <w:r>
        <w:t>,</w:t>
      </w:r>
      <w:r w:rsidRPr="0050050B">
        <w:t xml:space="preserve"> </w:t>
      </w:r>
      <w:r>
        <w:t xml:space="preserve">40.punkts. </w:t>
      </w:r>
    </w:p>
  </w:footnote>
  <w:footnote w:id="51">
    <w:p w14:paraId="025DCFAF" w14:textId="55471C37" w:rsidR="00E732AF" w:rsidRDefault="00E732AF" w:rsidP="00E732AF">
      <w:pPr>
        <w:pStyle w:val="FootnoteText"/>
        <w:jc w:val="both"/>
      </w:pPr>
      <w:r>
        <w:rPr>
          <w:rStyle w:val="FootnoteReference"/>
        </w:rPr>
        <w:footnoteRef/>
      </w:r>
      <w:r>
        <w:t xml:space="preserve"> Eiropas Savienības Tiesas 2016.gada 10.novembra spriedums lietā </w:t>
      </w:r>
      <w:r w:rsidRPr="0050050B">
        <w:rPr>
          <w:i/>
        </w:rPr>
        <w:t>Ciclat</w:t>
      </w:r>
      <w:r>
        <w:t xml:space="preserve">, </w:t>
      </w:r>
      <w:r w:rsidRPr="00BE6EA9">
        <w:t>C‑199/15</w:t>
      </w:r>
      <w:r>
        <w:t xml:space="preserve">, </w:t>
      </w:r>
      <w:r w:rsidRPr="00860DFC">
        <w:t>ECLI:EU:C:2016:853</w:t>
      </w:r>
      <w:r>
        <w:t>,</w:t>
      </w:r>
      <w:r w:rsidRPr="0050050B">
        <w:t xml:space="preserve"> </w:t>
      </w:r>
      <w:r>
        <w:t>37.punkts.</w:t>
      </w:r>
    </w:p>
  </w:footnote>
  <w:footnote w:id="52">
    <w:p w14:paraId="1842641A" w14:textId="0F829E44" w:rsidR="00E732AF" w:rsidRDefault="00E732AF" w:rsidP="00E732AF">
      <w:pPr>
        <w:pStyle w:val="FootnoteText"/>
        <w:jc w:val="both"/>
      </w:pPr>
      <w:r>
        <w:rPr>
          <w:rStyle w:val="FootnoteReference"/>
        </w:rPr>
        <w:footnoteRef/>
      </w:r>
      <w:r>
        <w:t xml:space="preserve"> Eiropas Savienības Tiesas 2016.gada 10.novembra spriedums lietā </w:t>
      </w:r>
      <w:r w:rsidRPr="0050050B">
        <w:rPr>
          <w:i/>
        </w:rPr>
        <w:t>Ciclat</w:t>
      </w:r>
      <w:r>
        <w:t xml:space="preserve">, </w:t>
      </w:r>
      <w:r w:rsidRPr="00BE6EA9">
        <w:t>C‑199/15</w:t>
      </w:r>
      <w:r>
        <w:t xml:space="preserve">, </w:t>
      </w:r>
      <w:r w:rsidRPr="00860DFC">
        <w:t>ECLI:EU:C:2016:853</w:t>
      </w:r>
      <w:r>
        <w:t>,</w:t>
      </w:r>
      <w:r w:rsidRPr="0050050B">
        <w:t xml:space="preserve"> </w:t>
      </w:r>
      <w:r>
        <w:t xml:space="preserve">28.punkts, </w:t>
      </w:r>
      <w:r>
        <w:rPr>
          <w:rFonts w:ascii="TimesNewRomanPSMT" w:eastAsiaTheme="minorHAnsi" w:hAnsi="TimesNewRomanPSMT" w:cs="TimesNewRomanPSMT"/>
        </w:rPr>
        <w:t xml:space="preserve">2006.gada 9.februāra spriedums apvienotajās lietās </w:t>
      </w:r>
      <w:r w:rsidRPr="00912102">
        <w:rPr>
          <w:rFonts w:ascii="TimesNewRomanPSMT" w:eastAsiaTheme="minorHAnsi" w:hAnsi="TimesNewRomanPSMT" w:cs="TimesNewRomanPSMT"/>
          <w:i/>
        </w:rPr>
        <w:t>La Cascina u.c.</w:t>
      </w:r>
      <w:r w:rsidRPr="00A76912">
        <w:rPr>
          <w:rFonts w:ascii="TimesNewRomanPSMT" w:eastAsiaTheme="minorHAnsi" w:hAnsi="TimesNewRomanPSMT" w:cs="TimesNewRomanPSMT"/>
        </w:rPr>
        <w:t xml:space="preserve">, C‑226/04 un C‑228/04, </w:t>
      </w:r>
      <w:r>
        <w:rPr>
          <w:rFonts w:ascii="TimesNewRomanPSMT" w:eastAsiaTheme="minorHAnsi" w:hAnsi="TimesNewRomanPSMT" w:cs="TimesNewRomanPSMT"/>
        </w:rPr>
        <w:t>ECLI:EU:C:2006:94, 31. un 32.</w:t>
      </w:r>
      <w:r w:rsidRPr="00A76912">
        <w:rPr>
          <w:rFonts w:ascii="TimesNewRomanPSMT" w:eastAsiaTheme="minorHAnsi" w:hAnsi="TimesNewRomanPSMT" w:cs="TimesNewRomanPSMT"/>
        </w:rPr>
        <w:t>punkts</w:t>
      </w:r>
      <w:r>
        <w:rPr>
          <w:rFonts w:ascii="TimesNewRomanPSMT" w:eastAsiaTheme="minorHAnsi" w:hAnsi="TimesNewRomanPSMT" w:cs="TimesNewRomanPSMT"/>
        </w:rPr>
        <w:t xml:space="preserve">. </w:t>
      </w:r>
    </w:p>
  </w:footnote>
  <w:footnote w:id="53">
    <w:p w14:paraId="724056B6" w14:textId="20DAB3D7" w:rsidR="00E732AF" w:rsidRDefault="00E732AF" w:rsidP="00E732AF">
      <w:pPr>
        <w:pStyle w:val="FootnoteText"/>
        <w:jc w:val="both"/>
      </w:pPr>
      <w:r>
        <w:rPr>
          <w:rStyle w:val="FootnoteReference"/>
        </w:rPr>
        <w:footnoteRef/>
      </w:r>
      <w:r>
        <w:t xml:space="preserve"> Eiropas Savienības Tiesas 2016.gada 7.jūlija spriedums lietā </w:t>
      </w:r>
      <w:r w:rsidRPr="00FA015D">
        <w:rPr>
          <w:i/>
        </w:rPr>
        <w:t>Ambisig</w:t>
      </w:r>
      <w:r>
        <w:t xml:space="preserve">, </w:t>
      </w:r>
      <w:r w:rsidRPr="00FD6FEC">
        <w:t>C‑46/15</w:t>
      </w:r>
      <w:r>
        <w:t xml:space="preserve">, </w:t>
      </w:r>
      <w:r w:rsidRPr="00641D0F">
        <w:t>ECLI:EU:C:2016:530</w:t>
      </w:r>
      <w:r>
        <w:t xml:space="preserve">, 42.punkts.  </w:t>
      </w:r>
    </w:p>
  </w:footnote>
  <w:footnote w:id="54">
    <w:p w14:paraId="649CA27E" w14:textId="762B192A" w:rsidR="00E732AF" w:rsidRDefault="00E732AF" w:rsidP="00E732AF">
      <w:pPr>
        <w:pStyle w:val="FootnoteText"/>
        <w:jc w:val="both"/>
      </w:pPr>
      <w:r>
        <w:rPr>
          <w:rStyle w:val="FootnoteReference"/>
        </w:rPr>
        <w:footnoteRef/>
      </w:r>
      <w:r>
        <w:t xml:space="preserve"> Eiropas Savienības Tiesas 2016.gada 7.jūlija spriedums lietā </w:t>
      </w:r>
      <w:r w:rsidRPr="00FA015D">
        <w:rPr>
          <w:i/>
        </w:rPr>
        <w:t>Ambisig</w:t>
      </w:r>
      <w:r>
        <w:t xml:space="preserve">, </w:t>
      </w:r>
      <w:r w:rsidRPr="00FD6FEC">
        <w:t>C‑46/15</w:t>
      </w:r>
      <w:r>
        <w:t xml:space="preserve">, </w:t>
      </w:r>
      <w:r w:rsidRPr="00641D0F">
        <w:t>ECLI:EU:C:2016:530</w:t>
      </w:r>
      <w:r>
        <w:t xml:space="preserve">, 49.punkts.  </w:t>
      </w:r>
    </w:p>
  </w:footnote>
  <w:footnote w:id="55">
    <w:p w14:paraId="0808BC48" w14:textId="0FA53F89" w:rsidR="00E732AF" w:rsidRDefault="00E732AF" w:rsidP="00E732AF">
      <w:pPr>
        <w:pStyle w:val="FootnoteText"/>
        <w:jc w:val="both"/>
      </w:pPr>
      <w:r>
        <w:rPr>
          <w:rStyle w:val="FootnoteReference"/>
        </w:rPr>
        <w:footnoteRef/>
      </w:r>
      <w:r>
        <w:t xml:space="preserve"> Eiropas Savienības Tiesas 2016.gada 7.jūlija spriedums lietā </w:t>
      </w:r>
      <w:r w:rsidRPr="00FA015D">
        <w:rPr>
          <w:i/>
        </w:rPr>
        <w:t>Ambisig</w:t>
      </w:r>
      <w:r>
        <w:t xml:space="preserve">, </w:t>
      </w:r>
      <w:r w:rsidRPr="00FD6FEC">
        <w:t>C‑46/15</w:t>
      </w:r>
      <w:r>
        <w:t xml:space="preserve">, </w:t>
      </w:r>
      <w:r w:rsidRPr="00641D0F">
        <w:t>ECLI:EU:C:2016:530</w:t>
      </w:r>
      <w:r>
        <w:t xml:space="preserve">, 50.punkts.  </w:t>
      </w:r>
    </w:p>
  </w:footnote>
  <w:footnote w:id="56">
    <w:p w14:paraId="025DB44D" w14:textId="77777777" w:rsidR="004262A5" w:rsidRDefault="004262A5" w:rsidP="004262A5">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50., 51.punkts. </w:t>
      </w:r>
    </w:p>
  </w:footnote>
  <w:footnote w:id="57">
    <w:p w14:paraId="5FDA9F6C" w14:textId="77777777" w:rsidR="004262A5" w:rsidRDefault="004262A5" w:rsidP="004262A5">
      <w:pPr>
        <w:pStyle w:val="FootnoteText"/>
        <w:jc w:val="both"/>
      </w:pPr>
      <w:r>
        <w:rPr>
          <w:rStyle w:val="FootnoteReference"/>
        </w:rPr>
        <w:footnoteRef/>
      </w:r>
      <w:r>
        <w:t xml:space="preserve"> Eiropas Savienības Tiesas 2016.gada 2.jūnija spriedums lietā </w:t>
      </w:r>
      <w:r w:rsidRPr="00D55EEF">
        <w:rPr>
          <w:i/>
        </w:rPr>
        <w:t>Pippo Pizzo</w:t>
      </w:r>
      <w:r>
        <w:t xml:space="preserve">,  </w:t>
      </w:r>
      <w:r w:rsidRPr="00D55EEF">
        <w:t>C-27/15</w:t>
      </w:r>
      <w:r>
        <w:t xml:space="preserve">, </w:t>
      </w:r>
      <w:r w:rsidRPr="00183700">
        <w:t>ECLI:EU:C:2016:404</w:t>
      </w:r>
      <w:r>
        <w:t xml:space="preserve">. </w:t>
      </w:r>
    </w:p>
  </w:footnote>
  <w:footnote w:id="58">
    <w:p w14:paraId="48C229AA" w14:textId="77777777" w:rsidR="00B40542" w:rsidRPr="00624D23" w:rsidRDefault="00B40542" w:rsidP="00B40542">
      <w:pPr>
        <w:pStyle w:val="FootnoteText"/>
        <w:jc w:val="both"/>
      </w:pPr>
      <w:r>
        <w:rPr>
          <w:rStyle w:val="FootnoteReference"/>
        </w:rPr>
        <w:footnoteRef/>
      </w:r>
      <w:r>
        <w:t xml:space="preserve"> Eiropas Savienības Tiesas 2016.gada 24.maija spriedums lietā </w:t>
      </w:r>
      <w:r w:rsidRPr="00624D23">
        <w:rPr>
          <w:i/>
        </w:rPr>
        <w:t>MT Højgaard un Züblin</w:t>
      </w:r>
      <w:r>
        <w:t xml:space="preserve">, </w:t>
      </w:r>
      <w:r w:rsidRPr="00364EF3">
        <w:t>C-396/14</w:t>
      </w:r>
      <w:r>
        <w:t xml:space="preserve">, </w:t>
      </w:r>
      <w:r w:rsidRPr="008F4DFF">
        <w:t>ECLI:EU:C:2016:347</w:t>
      </w:r>
      <w:r>
        <w:t xml:space="preserve">, 43., 44.punkts. </w:t>
      </w:r>
    </w:p>
  </w:footnote>
  <w:footnote w:id="59">
    <w:p w14:paraId="690C90B8" w14:textId="77777777"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xml:space="preserve">, 28.punkts, 2008.gada 19.jūnija spriedums lietā </w:t>
      </w:r>
      <w:r w:rsidRPr="0025453D">
        <w:rPr>
          <w:i/>
        </w:rPr>
        <w:t>Pressetext Nachrichtenagentur</w:t>
      </w:r>
      <w:r w:rsidRPr="0025453D">
        <w:t>, C‑454/06,</w:t>
      </w:r>
      <w:r>
        <w:t xml:space="preserve"> ECLI:EU:C:2008:351, 34.–37.</w:t>
      </w:r>
      <w:r w:rsidRPr="0025453D">
        <w:t>punkts</w:t>
      </w:r>
      <w:r>
        <w:t xml:space="preserve">.  </w:t>
      </w:r>
    </w:p>
  </w:footnote>
  <w:footnote w:id="60">
    <w:p w14:paraId="0AC869CC" w14:textId="635D1950"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xml:space="preserve">, 28.punkts, 2008.gada 19.jūnija spriedums lietā </w:t>
      </w:r>
      <w:r w:rsidRPr="0025453D">
        <w:rPr>
          <w:i/>
        </w:rPr>
        <w:t>Pressetext Nachrichtenagentur</w:t>
      </w:r>
      <w:r w:rsidRPr="0025453D">
        <w:t>, C‑454/06,</w:t>
      </w:r>
      <w:r>
        <w:t xml:space="preserve"> ECLI:EU:C:2008:351, 34.–37.</w:t>
      </w:r>
      <w:r w:rsidRPr="0025453D">
        <w:t>punkts</w:t>
      </w:r>
      <w:r>
        <w:t xml:space="preserve">.  </w:t>
      </w:r>
    </w:p>
  </w:footnote>
  <w:footnote w:id="61">
    <w:p w14:paraId="6A172C02" w14:textId="3660A195"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xml:space="preserve">, 28.punkts. </w:t>
      </w:r>
    </w:p>
  </w:footnote>
  <w:footnote w:id="62">
    <w:p w14:paraId="6EF62B6C" w14:textId="05D1DBB6"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37.punkts, pēc analoģijas sk</w:t>
      </w:r>
      <w:r w:rsidRPr="002C68A3">
        <w:t xml:space="preserve">. </w:t>
      </w:r>
      <w:r>
        <w:t xml:space="preserve">2004.gada 29.aprīļa spriedumu lietā </w:t>
      </w:r>
      <w:r w:rsidRPr="002C68A3">
        <w:rPr>
          <w:i/>
        </w:rPr>
        <w:t>Komisija/CAS Succhi di Frutta</w:t>
      </w:r>
      <w:r w:rsidRPr="002C68A3">
        <w:t xml:space="preserve">, C‑496/99 P, </w:t>
      </w:r>
      <w:r>
        <w:t>ECLI:</w:t>
      </w:r>
      <w:r w:rsidRPr="002C68A3">
        <w:t>EU:C:200</w:t>
      </w:r>
      <w:r>
        <w:t>4:236, 112., 115., 117. un 118.</w:t>
      </w:r>
      <w:r w:rsidRPr="002C68A3">
        <w:t>punkts</w:t>
      </w:r>
      <w:r>
        <w:t xml:space="preserve">. </w:t>
      </w:r>
    </w:p>
  </w:footnote>
  <w:footnote w:id="63">
    <w:p w14:paraId="5729F92D" w14:textId="3966AF69"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30.punkts, pēc analoģijas sk</w:t>
      </w:r>
      <w:r w:rsidRPr="00D9359D">
        <w:t xml:space="preserve">. </w:t>
      </w:r>
      <w:r>
        <w:t xml:space="preserve">2010.gada 13.aprīļa spriedumu lietā </w:t>
      </w:r>
      <w:r w:rsidRPr="00763CD4">
        <w:rPr>
          <w:i/>
        </w:rPr>
        <w:t>Wall</w:t>
      </w:r>
      <w:r w:rsidRPr="00D9359D">
        <w:t xml:space="preserve">, C‑91/08, </w:t>
      </w:r>
      <w:r>
        <w:t>ECLI:EU:C:2010:182, 42.punktu</w:t>
      </w:r>
      <w:r w:rsidRPr="00D9359D">
        <w:t>.</w:t>
      </w:r>
    </w:p>
  </w:footnote>
  <w:footnote w:id="64">
    <w:p w14:paraId="63BBD212" w14:textId="44895282" w:rsidR="00E732AF" w:rsidRDefault="00E732AF" w:rsidP="00E732AF">
      <w:pPr>
        <w:pStyle w:val="FootnoteText"/>
        <w:jc w:val="both"/>
      </w:pPr>
      <w:r>
        <w:rPr>
          <w:rStyle w:val="FootnoteReference"/>
        </w:rPr>
        <w:footnoteRef/>
      </w:r>
      <w:r>
        <w:t xml:space="preserve"> Eiropas Savienības Tiesas 2008.gada 19.jūnija spriedums lietā </w:t>
      </w:r>
      <w:r w:rsidRPr="0025453D">
        <w:rPr>
          <w:i/>
        </w:rPr>
        <w:t>Pressetext Nachrichtenagentur</w:t>
      </w:r>
      <w:r w:rsidRPr="0025453D">
        <w:t>, C‑454/06,</w:t>
      </w:r>
      <w:r>
        <w:t xml:space="preserve"> ECLI:EU:C:2008:351, 37.–69.</w:t>
      </w:r>
      <w:r w:rsidRPr="0025453D">
        <w:t>punkts</w:t>
      </w:r>
      <w:r>
        <w:t xml:space="preserve">.  </w:t>
      </w:r>
    </w:p>
  </w:footnote>
  <w:footnote w:id="65">
    <w:p w14:paraId="5325A36E" w14:textId="09E0C782"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xml:space="preserve">. </w:t>
      </w:r>
    </w:p>
  </w:footnote>
  <w:footnote w:id="66">
    <w:p w14:paraId="5443A585" w14:textId="6D4AF861" w:rsidR="00E732AF" w:rsidRDefault="00E732AF" w:rsidP="00E732AF">
      <w:pPr>
        <w:pStyle w:val="FootnoteText"/>
        <w:jc w:val="both"/>
      </w:pPr>
      <w:r>
        <w:rPr>
          <w:rStyle w:val="FootnoteReference"/>
        </w:rPr>
        <w:footnoteRef/>
      </w:r>
      <w:r>
        <w:t xml:space="preserve"> Eiropas Savienības Tiesas 2016.gada 7.septembra spriedums lietā </w:t>
      </w:r>
      <w:r w:rsidRPr="00F359E6">
        <w:rPr>
          <w:i/>
        </w:rPr>
        <w:t>Finn Frogne</w:t>
      </w:r>
      <w:r>
        <w:t xml:space="preserve">, </w:t>
      </w:r>
      <w:r w:rsidRPr="008064EB">
        <w:t>C-549/14</w:t>
      </w:r>
      <w:r>
        <w:t xml:space="preserve">, </w:t>
      </w:r>
      <w:r w:rsidRPr="008064EB">
        <w:t>ECLI:EU:C:2016:634</w:t>
      </w:r>
      <w:r>
        <w:t xml:space="preserve">, 40.punkts. </w:t>
      </w:r>
    </w:p>
  </w:footnote>
  <w:footnote w:id="67">
    <w:p w14:paraId="7F5E8180" w14:textId="191BB1BC"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28., 29.punkts, 2014.gada 8.maija spriedums lietā </w:t>
      </w:r>
      <w:r w:rsidRPr="00050659">
        <w:rPr>
          <w:i/>
        </w:rPr>
        <w:t>Datenlotsen Informationssysteme</w:t>
      </w:r>
      <w:r w:rsidRPr="00050659">
        <w:t xml:space="preserve">, C‑15/13, </w:t>
      </w:r>
      <w:r>
        <w:t>ECLI:EU:C:2014:303, 23.</w:t>
      </w:r>
      <w:r w:rsidRPr="00050659">
        <w:t>punkts</w:t>
      </w:r>
      <w:r>
        <w:t xml:space="preserve">, 2005.gada 11.janvāra spriedums lietā </w:t>
      </w:r>
      <w:r w:rsidRPr="00050659">
        <w:rPr>
          <w:i/>
        </w:rPr>
        <w:t>Stadt Halle un RPL Lochau</w:t>
      </w:r>
      <w:r w:rsidRPr="00050659">
        <w:t xml:space="preserve">, C‑26/03, </w:t>
      </w:r>
      <w:r>
        <w:t xml:space="preserve">ECLI:EU:C:2005:5, 46.punkts. </w:t>
      </w:r>
      <w:r w:rsidRPr="00050659">
        <w:t xml:space="preserve"> </w:t>
      </w:r>
    </w:p>
  </w:footnote>
  <w:footnote w:id="68">
    <w:p w14:paraId="7E370391" w14:textId="17C8FDCD" w:rsidR="00E732AF" w:rsidRDefault="00E732AF" w:rsidP="00E732AF">
      <w:pPr>
        <w:pStyle w:val="FootnoteText"/>
        <w:jc w:val="both"/>
      </w:pPr>
      <w:r>
        <w:rPr>
          <w:rStyle w:val="FootnoteReference"/>
        </w:rPr>
        <w:footnoteRef/>
      </w:r>
      <w:r>
        <w:t xml:space="preserve"> Eiropas Savienības Tiesas 2005.gada 11.janvāra spriedums lietā </w:t>
      </w:r>
      <w:r w:rsidRPr="00553977">
        <w:rPr>
          <w:i/>
        </w:rPr>
        <w:t>Stadt Halle un RPL Lochau</w:t>
      </w:r>
      <w:r w:rsidRPr="00553977">
        <w:t xml:space="preserve">, C‑26/03, </w:t>
      </w:r>
      <w:r>
        <w:t>ECLI:EU:C:2005:5, 48.</w:t>
      </w:r>
      <w:r w:rsidRPr="00553977">
        <w:t>punkts</w:t>
      </w:r>
      <w:r>
        <w:t xml:space="preserve">. </w:t>
      </w:r>
    </w:p>
  </w:footnote>
  <w:footnote w:id="69">
    <w:p w14:paraId="4EF04C19" w14:textId="0E605D66" w:rsidR="00E732AF" w:rsidRDefault="00E732AF" w:rsidP="00E732AF">
      <w:pPr>
        <w:pStyle w:val="FootnoteText"/>
        <w:jc w:val="both"/>
      </w:pPr>
      <w:r>
        <w:rPr>
          <w:rStyle w:val="FootnoteReference"/>
        </w:rPr>
        <w:footnoteRef/>
      </w:r>
      <w:r>
        <w:t xml:space="preserve"> Eiropas Savienības Tiesas 2014.gada 8.maija spriedums lietā </w:t>
      </w:r>
      <w:r w:rsidRPr="00C42033">
        <w:rPr>
          <w:i/>
        </w:rPr>
        <w:t>Datenlotsen Informationssysteme</w:t>
      </w:r>
      <w:r w:rsidRPr="00C42033">
        <w:t xml:space="preserve">, C‑15/13, </w:t>
      </w:r>
      <w:r>
        <w:t>ECLI:EU:C:2014:303, 29.</w:t>
      </w:r>
      <w:r w:rsidRPr="00C42033">
        <w:t>punkts</w:t>
      </w:r>
      <w:r>
        <w:t xml:space="preserve">. </w:t>
      </w:r>
    </w:p>
  </w:footnote>
  <w:footnote w:id="70">
    <w:p w14:paraId="260E3E27" w14:textId="25B4B65C"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30.punkts, 2014.gada 8.maija spriedums lietā </w:t>
      </w:r>
      <w:r w:rsidRPr="00C42033">
        <w:rPr>
          <w:i/>
        </w:rPr>
        <w:t>Datenlotsen Informationssysteme</w:t>
      </w:r>
      <w:r w:rsidRPr="00C42033">
        <w:t xml:space="preserve">, C‑15/13, </w:t>
      </w:r>
      <w:r>
        <w:t>ECLI:EU:C:2014:303, 25.</w:t>
      </w:r>
      <w:r w:rsidRPr="00C42033">
        <w:t>punkts</w:t>
      </w:r>
      <w:r>
        <w:t>.</w:t>
      </w:r>
    </w:p>
  </w:footnote>
  <w:footnote w:id="71">
    <w:p w14:paraId="6CB9F3C6" w14:textId="36657A3A"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31.punkts, 1999.gada 18.</w:t>
      </w:r>
      <w:r w:rsidRPr="00E33805">
        <w:t>novembr</w:t>
      </w:r>
      <w:r>
        <w:t xml:space="preserve">a spriedums lietā </w:t>
      </w:r>
      <w:r w:rsidRPr="00416E40">
        <w:rPr>
          <w:i/>
        </w:rPr>
        <w:t>Teckal</w:t>
      </w:r>
      <w:r w:rsidRPr="00E33805">
        <w:t xml:space="preserve">, C‑107/98, </w:t>
      </w:r>
      <w:r>
        <w:t>ECLI:</w:t>
      </w:r>
      <w:r w:rsidRPr="00E33805">
        <w:t>EU:C:19</w:t>
      </w:r>
      <w:r>
        <w:t>99:562, 50.</w:t>
      </w:r>
      <w:r w:rsidRPr="00E33805">
        <w:t>punkts</w:t>
      </w:r>
      <w:r>
        <w:t xml:space="preserve">. </w:t>
      </w:r>
    </w:p>
  </w:footnote>
  <w:footnote w:id="72">
    <w:p w14:paraId="727A3AD8" w14:textId="0A43DA86"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32.punkts, 2008.gada 17.jūlija spriedums lietā </w:t>
      </w:r>
      <w:r w:rsidRPr="005A634C">
        <w:rPr>
          <w:i/>
        </w:rPr>
        <w:t>Komisija/Itālija</w:t>
      </w:r>
      <w:r w:rsidRPr="005A634C">
        <w:t xml:space="preserve">, C‑371/05, </w:t>
      </w:r>
      <w:r>
        <w:t>ECLI:EU:C:2008:410, 31.</w:t>
      </w:r>
      <w:r w:rsidRPr="005A634C">
        <w:t>punkts</w:t>
      </w:r>
      <w:r>
        <w:t xml:space="preserve">, 2006.gada 11.maija spriedums lietā </w:t>
      </w:r>
      <w:r w:rsidRPr="005A634C">
        <w:rPr>
          <w:i/>
        </w:rPr>
        <w:t>Carbotermo un Consorzio Alisei</w:t>
      </w:r>
      <w:r w:rsidRPr="005A634C">
        <w:t xml:space="preserve">, C‑340/04, </w:t>
      </w:r>
      <w:r>
        <w:t>ECLI:EU:C:2006:308, 63. un 65.</w:t>
      </w:r>
      <w:r w:rsidRPr="005A634C">
        <w:t>punkts</w:t>
      </w:r>
      <w:r>
        <w:t>.</w:t>
      </w:r>
    </w:p>
  </w:footnote>
  <w:footnote w:id="73">
    <w:p w14:paraId="47C66889" w14:textId="74A66802"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38.punkts. </w:t>
      </w:r>
    </w:p>
  </w:footnote>
  <w:footnote w:id="74">
    <w:p w14:paraId="7B37AD1D" w14:textId="4B73E0FE"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w:t>
      </w:r>
    </w:p>
  </w:footnote>
  <w:footnote w:id="75">
    <w:p w14:paraId="563B8604" w14:textId="6C041D72" w:rsidR="00E732AF" w:rsidRDefault="00E732AF" w:rsidP="00E732AF">
      <w:pPr>
        <w:pStyle w:val="FootnoteText"/>
        <w:jc w:val="both"/>
      </w:pPr>
      <w:r>
        <w:rPr>
          <w:rStyle w:val="FootnoteReference"/>
        </w:rPr>
        <w:footnoteRef/>
      </w:r>
      <w:r>
        <w:t xml:space="preserve"> Eiropas Savienības Tiesas 2016.gada 8.decembra spriedums lietā </w:t>
      </w:r>
      <w:r w:rsidRPr="002A59E1">
        <w:rPr>
          <w:i/>
        </w:rPr>
        <w:t>Undis Servizi</w:t>
      </w:r>
      <w:r>
        <w:t xml:space="preserve">, </w:t>
      </w:r>
      <w:r w:rsidRPr="008604B3">
        <w:t>C-553/15</w:t>
      </w:r>
      <w:r>
        <w:t xml:space="preserve">, </w:t>
      </w:r>
      <w:r w:rsidRPr="00603FDA">
        <w:t>ECLI:EU:C:2016:935</w:t>
      </w:r>
      <w:r>
        <w:t xml:space="preserve">, 33.punkts, </w:t>
      </w:r>
      <w:r w:rsidRPr="000E74B2">
        <w:t>s</w:t>
      </w:r>
      <w:r>
        <w:t>k</w:t>
      </w:r>
      <w:r w:rsidRPr="000E74B2">
        <w:t xml:space="preserve">. pēc analoģijas </w:t>
      </w:r>
      <w:r>
        <w:t>2006.</w:t>
      </w:r>
      <w:r w:rsidRPr="000E74B2">
        <w:t>gada 11.</w:t>
      </w:r>
      <w:r>
        <w:t xml:space="preserve">maija sprieduma </w:t>
      </w:r>
      <w:r w:rsidRPr="000E74B2">
        <w:rPr>
          <w:i/>
        </w:rPr>
        <w:t>Carbotermo un Consorzio Alisei</w:t>
      </w:r>
      <w:r w:rsidRPr="000E74B2">
        <w:t xml:space="preserve">, C‑340/04, </w:t>
      </w:r>
      <w:r>
        <w:t>ECLI:</w:t>
      </w:r>
      <w:r w:rsidRPr="000E74B2">
        <w:t>EU:C:200</w:t>
      </w:r>
      <w:r>
        <w:t>6:308, 60.–62.</w:t>
      </w:r>
      <w:r w:rsidRPr="000E74B2">
        <w:t>punkt</w:t>
      </w:r>
      <w:r>
        <w:t xml:space="preserve">u. </w:t>
      </w:r>
    </w:p>
  </w:footnote>
  <w:footnote w:id="76">
    <w:p w14:paraId="15F45135" w14:textId="728D4FE8"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36., 37.punkts,  2005.gada 10.novembra spriedums lietā </w:t>
      </w:r>
      <w:r w:rsidRPr="007767FB">
        <w:rPr>
          <w:i/>
        </w:rPr>
        <w:t>Komisija/Austrija</w:t>
      </w:r>
      <w:r w:rsidRPr="007767FB">
        <w:t xml:space="preserve">, C‑29/04, </w:t>
      </w:r>
      <w:r>
        <w:t>ECLI:</w:t>
      </w:r>
      <w:r w:rsidRPr="007767FB">
        <w:t>EU:C:2005:670, 41.punkts</w:t>
      </w:r>
      <w:r>
        <w:t xml:space="preserve">. </w:t>
      </w:r>
    </w:p>
  </w:footnote>
  <w:footnote w:id="77">
    <w:p w14:paraId="0E07CFBA" w14:textId="74EA92A0"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43.punkts, 2010.gada 25.marta spriedums lietā </w:t>
      </w:r>
      <w:r w:rsidRPr="00317B92">
        <w:rPr>
          <w:i/>
        </w:rPr>
        <w:t>Helmut Müller</w:t>
      </w:r>
      <w:r w:rsidRPr="00EE49DE">
        <w:t xml:space="preserve">, C‑451/08, </w:t>
      </w:r>
      <w:r>
        <w:t>ECLI:</w:t>
      </w:r>
      <w:r w:rsidRPr="00EE49DE">
        <w:t>EU:C:2010:168, 47.–49.punkts</w:t>
      </w:r>
      <w:r>
        <w:t xml:space="preserve">. </w:t>
      </w:r>
    </w:p>
  </w:footnote>
  <w:footnote w:id="78">
    <w:p w14:paraId="291023EC" w14:textId="77777777"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w:t>
      </w:r>
    </w:p>
  </w:footnote>
  <w:footnote w:id="79">
    <w:p w14:paraId="756E256F" w14:textId="169BBE34"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40.punkts, 2014.gada 12.jūnija spriedums lietā </w:t>
      </w:r>
      <w:r w:rsidRPr="003A6281">
        <w:rPr>
          <w:i/>
        </w:rPr>
        <w:t>Digibet un Albers</w:t>
      </w:r>
      <w:r>
        <w:t xml:space="preserve">, C‑156/13, ECLI:EU:C:2014:1756, 34.punkts. </w:t>
      </w:r>
    </w:p>
  </w:footnote>
  <w:footnote w:id="80">
    <w:p w14:paraId="77DC1209" w14:textId="77777777"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41.punkts. </w:t>
      </w:r>
    </w:p>
  </w:footnote>
  <w:footnote w:id="81">
    <w:p w14:paraId="34478F17" w14:textId="3EF8C3FC"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xml:space="preserve">, 41.punkts. </w:t>
      </w:r>
    </w:p>
  </w:footnote>
  <w:footnote w:id="82">
    <w:p w14:paraId="1BF8503D" w14:textId="5A716A21"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44.punkts.</w:t>
      </w:r>
    </w:p>
  </w:footnote>
  <w:footnote w:id="83">
    <w:p w14:paraId="0C9122D1" w14:textId="2153D8DC"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45., 46.punkts.</w:t>
      </w:r>
    </w:p>
  </w:footnote>
  <w:footnote w:id="84">
    <w:p w14:paraId="605F2025" w14:textId="397D7EBF"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47.–54.punkts.</w:t>
      </w:r>
    </w:p>
  </w:footnote>
  <w:footnote w:id="85">
    <w:p w14:paraId="0CB038B9" w14:textId="3A731F01"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49.punkts.</w:t>
      </w:r>
    </w:p>
  </w:footnote>
  <w:footnote w:id="86">
    <w:p w14:paraId="01C1D4B9" w14:textId="3D07A0A0" w:rsidR="00E732AF" w:rsidRDefault="00E732AF" w:rsidP="00E732AF">
      <w:pPr>
        <w:pStyle w:val="FootnoteText"/>
        <w:jc w:val="both"/>
      </w:pPr>
      <w:r>
        <w:rPr>
          <w:rStyle w:val="FootnoteReference"/>
        </w:rPr>
        <w:footnoteRef/>
      </w:r>
      <w:r>
        <w:t xml:space="preserve"> Eiropas Savienības Tiesas 2016.gada 21.decembra spriedums lietā </w:t>
      </w:r>
      <w:r w:rsidRPr="00753E01">
        <w:rPr>
          <w:i/>
        </w:rPr>
        <w:t>Remondis</w:t>
      </w:r>
      <w:r>
        <w:t xml:space="preserve">, C-51/15, </w:t>
      </w:r>
      <w:r w:rsidRPr="00D13593">
        <w:t>ECLI:EU:C:2016:985</w:t>
      </w:r>
      <w:r>
        <w:t>, 51.–53.punkts.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2B0"/>
    <w:multiLevelType w:val="hybridMultilevel"/>
    <w:tmpl w:val="44CEE6DE"/>
    <w:lvl w:ilvl="0" w:tplc="4E627600">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0E86515A"/>
    <w:multiLevelType w:val="hybridMultilevel"/>
    <w:tmpl w:val="2AE89066"/>
    <w:lvl w:ilvl="0" w:tplc="2CF4E3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nsid w:val="11ED5941"/>
    <w:multiLevelType w:val="multilevel"/>
    <w:tmpl w:val="214CC5EA"/>
    <w:lvl w:ilvl="0">
      <w:start w:val="1"/>
      <w:numFmt w:val="decimal"/>
      <w:pStyle w:val="Heading2"/>
      <w:lvlText w:val="%1."/>
      <w:lvlJc w:val="left"/>
      <w:pPr>
        <w:ind w:left="360" w:hanging="360"/>
      </w:pPr>
      <w:rPr>
        <w:rFonts w:hint="default"/>
      </w:rPr>
    </w:lvl>
    <w:lvl w:ilvl="1">
      <w:start w:val="1"/>
      <w:numFmt w:val="decimal"/>
      <w:lvlText w:val="%2.%1"/>
      <w:lvlJc w:val="left"/>
      <w:pPr>
        <w:ind w:left="576" w:hanging="576"/>
      </w:pPr>
      <w:rPr>
        <w:rFonts w:hint="default"/>
      </w:rPr>
    </w:lvl>
    <w:lvl w:ilvl="2">
      <w:start w:val="1"/>
      <w:numFmt w:val="decimal"/>
      <w:lvlRestart w:val="1"/>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37C71989"/>
    <w:multiLevelType w:val="hybridMultilevel"/>
    <w:tmpl w:val="1B8AC71A"/>
    <w:lvl w:ilvl="0" w:tplc="E89675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47FE137F"/>
    <w:multiLevelType w:val="multilevel"/>
    <w:tmpl w:val="4E904C34"/>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A492098"/>
    <w:multiLevelType w:val="multilevel"/>
    <w:tmpl w:val="410839E2"/>
    <w:lvl w:ilvl="0">
      <w:start w:val="2"/>
      <w:numFmt w:val="decimal"/>
      <w:lvlText w:val="%1."/>
      <w:lvlJc w:val="left"/>
      <w:pPr>
        <w:ind w:left="360" w:hanging="360"/>
      </w:pPr>
      <w:rPr>
        <w:rFonts w:hint="default"/>
      </w:rPr>
    </w:lvl>
    <w:lvl w:ilvl="1">
      <w:start w:val="4"/>
      <w:numFmt w:val="decimal"/>
      <w:lvlText w:val="%1.%2."/>
      <w:lvlJc w:val="left"/>
      <w:pPr>
        <w:ind w:left="1183" w:hanging="36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6">
    <w:nsid w:val="613D1F4F"/>
    <w:multiLevelType w:val="hybridMultilevel"/>
    <w:tmpl w:val="AAA64D9A"/>
    <w:lvl w:ilvl="0" w:tplc="A50EA566">
      <w:start w:val="1"/>
      <w:numFmt w:val="decimal"/>
      <w:lvlText w:val="%1)"/>
      <w:lvlJc w:val="left"/>
      <w:pPr>
        <w:tabs>
          <w:tab w:val="num" w:pos="1410"/>
        </w:tabs>
        <w:ind w:left="1410" w:hanging="87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nsid w:val="7A3D3D88"/>
    <w:multiLevelType w:val="multilevel"/>
    <w:tmpl w:val="777686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2"/>
  </w:num>
  <w:num w:numId="4">
    <w:abstractNumId w:val="4"/>
  </w:num>
  <w:num w:numId="5">
    <w:abstractNumId w:val="5"/>
  </w:num>
  <w:num w:numId="6">
    <w:abstractNumId w:val="7"/>
  </w:num>
  <w:num w:numId="7">
    <w:abstractNumId w:val="3"/>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B4"/>
    <w:rsid w:val="000003CF"/>
    <w:rsid w:val="00002B13"/>
    <w:rsid w:val="00007125"/>
    <w:rsid w:val="00010041"/>
    <w:rsid w:val="00010C49"/>
    <w:rsid w:val="00010ED8"/>
    <w:rsid w:val="000147DB"/>
    <w:rsid w:val="000147F7"/>
    <w:rsid w:val="00014BF1"/>
    <w:rsid w:val="0002130B"/>
    <w:rsid w:val="000249FF"/>
    <w:rsid w:val="00024A02"/>
    <w:rsid w:val="000259C7"/>
    <w:rsid w:val="00027758"/>
    <w:rsid w:val="00035B9E"/>
    <w:rsid w:val="00036B7D"/>
    <w:rsid w:val="00037A36"/>
    <w:rsid w:val="00040374"/>
    <w:rsid w:val="00040390"/>
    <w:rsid w:val="000416AA"/>
    <w:rsid w:val="00043013"/>
    <w:rsid w:val="00043451"/>
    <w:rsid w:val="000458CA"/>
    <w:rsid w:val="00047DF2"/>
    <w:rsid w:val="00050630"/>
    <w:rsid w:val="00050659"/>
    <w:rsid w:val="00051177"/>
    <w:rsid w:val="00053323"/>
    <w:rsid w:val="0005441B"/>
    <w:rsid w:val="000557C6"/>
    <w:rsid w:val="00057434"/>
    <w:rsid w:val="0006280F"/>
    <w:rsid w:val="0006594E"/>
    <w:rsid w:val="0006761B"/>
    <w:rsid w:val="00071F1F"/>
    <w:rsid w:val="00072EAA"/>
    <w:rsid w:val="00075118"/>
    <w:rsid w:val="00076C0E"/>
    <w:rsid w:val="00077384"/>
    <w:rsid w:val="0007797A"/>
    <w:rsid w:val="00077FA5"/>
    <w:rsid w:val="00082176"/>
    <w:rsid w:val="0008340B"/>
    <w:rsid w:val="00083653"/>
    <w:rsid w:val="00083FB7"/>
    <w:rsid w:val="00084961"/>
    <w:rsid w:val="0008594C"/>
    <w:rsid w:val="0008676D"/>
    <w:rsid w:val="00087069"/>
    <w:rsid w:val="00087611"/>
    <w:rsid w:val="00090CDB"/>
    <w:rsid w:val="00092B6F"/>
    <w:rsid w:val="00093A9E"/>
    <w:rsid w:val="00094D59"/>
    <w:rsid w:val="000956CF"/>
    <w:rsid w:val="00096EBE"/>
    <w:rsid w:val="000977E3"/>
    <w:rsid w:val="00097E36"/>
    <w:rsid w:val="000A3F94"/>
    <w:rsid w:val="000A539B"/>
    <w:rsid w:val="000A7DCD"/>
    <w:rsid w:val="000B041D"/>
    <w:rsid w:val="000B0CBB"/>
    <w:rsid w:val="000B11AA"/>
    <w:rsid w:val="000B11E4"/>
    <w:rsid w:val="000B1CC9"/>
    <w:rsid w:val="000B4D02"/>
    <w:rsid w:val="000B584C"/>
    <w:rsid w:val="000B5C09"/>
    <w:rsid w:val="000B63DD"/>
    <w:rsid w:val="000B686C"/>
    <w:rsid w:val="000C0EB8"/>
    <w:rsid w:val="000C1C46"/>
    <w:rsid w:val="000C1C6E"/>
    <w:rsid w:val="000C30A9"/>
    <w:rsid w:val="000C466F"/>
    <w:rsid w:val="000C4C90"/>
    <w:rsid w:val="000C5194"/>
    <w:rsid w:val="000C585E"/>
    <w:rsid w:val="000C5ACB"/>
    <w:rsid w:val="000C7E85"/>
    <w:rsid w:val="000D1CD5"/>
    <w:rsid w:val="000D1F66"/>
    <w:rsid w:val="000D3222"/>
    <w:rsid w:val="000D4161"/>
    <w:rsid w:val="000D45E5"/>
    <w:rsid w:val="000D4E18"/>
    <w:rsid w:val="000D6230"/>
    <w:rsid w:val="000D75D3"/>
    <w:rsid w:val="000D7D69"/>
    <w:rsid w:val="000D7F9B"/>
    <w:rsid w:val="000E0EC9"/>
    <w:rsid w:val="000E10A1"/>
    <w:rsid w:val="000E3689"/>
    <w:rsid w:val="000E3FC2"/>
    <w:rsid w:val="000E4F7E"/>
    <w:rsid w:val="000E51B1"/>
    <w:rsid w:val="000E6CD5"/>
    <w:rsid w:val="000E74B2"/>
    <w:rsid w:val="000E7992"/>
    <w:rsid w:val="000E7D1C"/>
    <w:rsid w:val="000F0DDC"/>
    <w:rsid w:val="000F27B5"/>
    <w:rsid w:val="000F321A"/>
    <w:rsid w:val="000F7605"/>
    <w:rsid w:val="000F7AA0"/>
    <w:rsid w:val="001008AF"/>
    <w:rsid w:val="00102043"/>
    <w:rsid w:val="00104B8A"/>
    <w:rsid w:val="0011055A"/>
    <w:rsid w:val="00111280"/>
    <w:rsid w:val="0011156F"/>
    <w:rsid w:val="00113115"/>
    <w:rsid w:val="001142B0"/>
    <w:rsid w:val="00115EF4"/>
    <w:rsid w:val="0011606A"/>
    <w:rsid w:val="00120818"/>
    <w:rsid w:val="00120ABC"/>
    <w:rsid w:val="001216CC"/>
    <w:rsid w:val="00122287"/>
    <w:rsid w:val="00124149"/>
    <w:rsid w:val="00124A71"/>
    <w:rsid w:val="001256C5"/>
    <w:rsid w:val="00126F94"/>
    <w:rsid w:val="00130784"/>
    <w:rsid w:val="00131DC7"/>
    <w:rsid w:val="001328FC"/>
    <w:rsid w:val="00132B3F"/>
    <w:rsid w:val="0013311B"/>
    <w:rsid w:val="001353AD"/>
    <w:rsid w:val="001359B5"/>
    <w:rsid w:val="00135F17"/>
    <w:rsid w:val="001363E8"/>
    <w:rsid w:val="001405C4"/>
    <w:rsid w:val="00140C44"/>
    <w:rsid w:val="0014246A"/>
    <w:rsid w:val="00142A23"/>
    <w:rsid w:val="00142FAD"/>
    <w:rsid w:val="001432B6"/>
    <w:rsid w:val="0014372C"/>
    <w:rsid w:val="001439FE"/>
    <w:rsid w:val="00144A56"/>
    <w:rsid w:val="00146167"/>
    <w:rsid w:val="00146FF3"/>
    <w:rsid w:val="00150C2A"/>
    <w:rsid w:val="00153CCD"/>
    <w:rsid w:val="00153D4C"/>
    <w:rsid w:val="0015790A"/>
    <w:rsid w:val="00160386"/>
    <w:rsid w:val="00161B4D"/>
    <w:rsid w:val="00165468"/>
    <w:rsid w:val="00165BF3"/>
    <w:rsid w:val="0016764B"/>
    <w:rsid w:val="001706AC"/>
    <w:rsid w:val="001707FD"/>
    <w:rsid w:val="00171596"/>
    <w:rsid w:val="00171972"/>
    <w:rsid w:val="00173326"/>
    <w:rsid w:val="001757A0"/>
    <w:rsid w:val="001757BF"/>
    <w:rsid w:val="0017702E"/>
    <w:rsid w:val="00177D42"/>
    <w:rsid w:val="00180072"/>
    <w:rsid w:val="0018026A"/>
    <w:rsid w:val="00180C02"/>
    <w:rsid w:val="001830BC"/>
    <w:rsid w:val="0018365C"/>
    <w:rsid w:val="00183700"/>
    <w:rsid w:val="00184FA1"/>
    <w:rsid w:val="001855D9"/>
    <w:rsid w:val="00185FD5"/>
    <w:rsid w:val="0019035D"/>
    <w:rsid w:val="00190E28"/>
    <w:rsid w:val="00193C46"/>
    <w:rsid w:val="00195757"/>
    <w:rsid w:val="0019594E"/>
    <w:rsid w:val="001A063A"/>
    <w:rsid w:val="001A1BA0"/>
    <w:rsid w:val="001A3B6A"/>
    <w:rsid w:val="001A67FD"/>
    <w:rsid w:val="001A7A3D"/>
    <w:rsid w:val="001B121E"/>
    <w:rsid w:val="001B1941"/>
    <w:rsid w:val="001B3EE2"/>
    <w:rsid w:val="001B474C"/>
    <w:rsid w:val="001B4BAE"/>
    <w:rsid w:val="001B79EF"/>
    <w:rsid w:val="001C00C4"/>
    <w:rsid w:val="001C1145"/>
    <w:rsid w:val="001C2E2A"/>
    <w:rsid w:val="001C3187"/>
    <w:rsid w:val="001C6A02"/>
    <w:rsid w:val="001C74AF"/>
    <w:rsid w:val="001D0E89"/>
    <w:rsid w:val="001D0F64"/>
    <w:rsid w:val="001D37BE"/>
    <w:rsid w:val="001D3966"/>
    <w:rsid w:val="001D42C6"/>
    <w:rsid w:val="001D60E5"/>
    <w:rsid w:val="001D6A99"/>
    <w:rsid w:val="001E09BD"/>
    <w:rsid w:val="001E2655"/>
    <w:rsid w:val="001E378B"/>
    <w:rsid w:val="001E4F3C"/>
    <w:rsid w:val="001E4F66"/>
    <w:rsid w:val="001E5397"/>
    <w:rsid w:val="001E5B7F"/>
    <w:rsid w:val="001E6C88"/>
    <w:rsid w:val="001E7529"/>
    <w:rsid w:val="001E7AEB"/>
    <w:rsid w:val="001F04DB"/>
    <w:rsid w:val="001F53D0"/>
    <w:rsid w:val="001F5AEF"/>
    <w:rsid w:val="001F6046"/>
    <w:rsid w:val="001F7958"/>
    <w:rsid w:val="00200019"/>
    <w:rsid w:val="00200B25"/>
    <w:rsid w:val="00201403"/>
    <w:rsid w:val="00202DA7"/>
    <w:rsid w:val="0020349C"/>
    <w:rsid w:val="00204036"/>
    <w:rsid w:val="002059C9"/>
    <w:rsid w:val="00207D6E"/>
    <w:rsid w:val="00210048"/>
    <w:rsid w:val="0021079C"/>
    <w:rsid w:val="00210D1B"/>
    <w:rsid w:val="00211547"/>
    <w:rsid w:val="0021262B"/>
    <w:rsid w:val="0021315B"/>
    <w:rsid w:val="002133F2"/>
    <w:rsid w:val="00213AD3"/>
    <w:rsid w:val="00214245"/>
    <w:rsid w:val="00214E0F"/>
    <w:rsid w:val="00215470"/>
    <w:rsid w:val="00216395"/>
    <w:rsid w:val="00222588"/>
    <w:rsid w:val="00222EFE"/>
    <w:rsid w:val="00223C63"/>
    <w:rsid w:val="002240B7"/>
    <w:rsid w:val="00225061"/>
    <w:rsid w:val="00226A4F"/>
    <w:rsid w:val="00226A9F"/>
    <w:rsid w:val="0023046A"/>
    <w:rsid w:val="00230B07"/>
    <w:rsid w:val="00231AFD"/>
    <w:rsid w:val="00231BAF"/>
    <w:rsid w:val="002326E6"/>
    <w:rsid w:val="00232E9A"/>
    <w:rsid w:val="002334E2"/>
    <w:rsid w:val="00233534"/>
    <w:rsid w:val="00233811"/>
    <w:rsid w:val="00233BF6"/>
    <w:rsid w:val="00233C63"/>
    <w:rsid w:val="002342F7"/>
    <w:rsid w:val="002343BE"/>
    <w:rsid w:val="00235B64"/>
    <w:rsid w:val="00237A3E"/>
    <w:rsid w:val="0024074C"/>
    <w:rsid w:val="00241EFE"/>
    <w:rsid w:val="00243A8F"/>
    <w:rsid w:val="00244671"/>
    <w:rsid w:val="00250602"/>
    <w:rsid w:val="00251365"/>
    <w:rsid w:val="00251611"/>
    <w:rsid w:val="0025453D"/>
    <w:rsid w:val="0025485C"/>
    <w:rsid w:val="00255662"/>
    <w:rsid w:val="002575C2"/>
    <w:rsid w:val="0026245B"/>
    <w:rsid w:val="0026473E"/>
    <w:rsid w:val="00265831"/>
    <w:rsid w:val="00265F2C"/>
    <w:rsid w:val="002675AB"/>
    <w:rsid w:val="002709C1"/>
    <w:rsid w:val="00270EB6"/>
    <w:rsid w:val="00271305"/>
    <w:rsid w:val="002718EA"/>
    <w:rsid w:val="00271C36"/>
    <w:rsid w:val="00272AB4"/>
    <w:rsid w:val="00272E93"/>
    <w:rsid w:val="00273688"/>
    <w:rsid w:val="00275825"/>
    <w:rsid w:val="00280255"/>
    <w:rsid w:val="00280689"/>
    <w:rsid w:val="002809EB"/>
    <w:rsid w:val="0028277D"/>
    <w:rsid w:val="00282C85"/>
    <w:rsid w:val="002848C1"/>
    <w:rsid w:val="0028509F"/>
    <w:rsid w:val="0028599A"/>
    <w:rsid w:val="00286F53"/>
    <w:rsid w:val="0029179E"/>
    <w:rsid w:val="0029331C"/>
    <w:rsid w:val="00296395"/>
    <w:rsid w:val="0029675E"/>
    <w:rsid w:val="002A004D"/>
    <w:rsid w:val="002A0335"/>
    <w:rsid w:val="002A19B0"/>
    <w:rsid w:val="002A29ED"/>
    <w:rsid w:val="002A3405"/>
    <w:rsid w:val="002A3931"/>
    <w:rsid w:val="002A44D0"/>
    <w:rsid w:val="002A59E1"/>
    <w:rsid w:val="002A64AA"/>
    <w:rsid w:val="002A6AEC"/>
    <w:rsid w:val="002A7063"/>
    <w:rsid w:val="002B08C8"/>
    <w:rsid w:val="002B1C9C"/>
    <w:rsid w:val="002B2D98"/>
    <w:rsid w:val="002B5690"/>
    <w:rsid w:val="002B6BCE"/>
    <w:rsid w:val="002B6D28"/>
    <w:rsid w:val="002B74BD"/>
    <w:rsid w:val="002C2C14"/>
    <w:rsid w:val="002C33BC"/>
    <w:rsid w:val="002C3AFB"/>
    <w:rsid w:val="002C4C8C"/>
    <w:rsid w:val="002C5B9A"/>
    <w:rsid w:val="002C621B"/>
    <w:rsid w:val="002C68A3"/>
    <w:rsid w:val="002C7D25"/>
    <w:rsid w:val="002D110A"/>
    <w:rsid w:val="002D170E"/>
    <w:rsid w:val="002D187E"/>
    <w:rsid w:val="002D1D5F"/>
    <w:rsid w:val="002D3D34"/>
    <w:rsid w:val="002D3E55"/>
    <w:rsid w:val="002D510B"/>
    <w:rsid w:val="002D56A4"/>
    <w:rsid w:val="002D5745"/>
    <w:rsid w:val="002D5A58"/>
    <w:rsid w:val="002D5E0B"/>
    <w:rsid w:val="002D65F6"/>
    <w:rsid w:val="002D73A3"/>
    <w:rsid w:val="002E0544"/>
    <w:rsid w:val="002E1CD1"/>
    <w:rsid w:val="002E2AD9"/>
    <w:rsid w:val="002E43B1"/>
    <w:rsid w:val="002E48A2"/>
    <w:rsid w:val="002E7042"/>
    <w:rsid w:val="002E722A"/>
    <w:rsid w:val="002E78B4"/>
    <w:rsid w:val="002F09FC"/>
    <w:rsid w:val="002F15FC"/>
    <w:rsid w:val="002F2D41"/>
    <w:rsid w:val="002F4309"/>
    <w:rsid w:val="002F4D7F"/>
    <w:rsid w:val="002F694A"/>
    <w:rsid w:val="002F6D4B"/>
    <w:rsid w:val="002F7813"/>
    <w:rsid w:val="0030037F"/>
    <w:rsid w:val="00300850"/>
    <w:rsid w:val="00301073"/>
    <w:rsid w:val="00302C6E"/>
    <w:rsid w:val="003047D0"/>
    <w:rsid w:val="00305101"/>
    <w:rsid w:val="00305B64"/>
    <w:rsid w:val="00306656"/>
    <w:rsid w:val="003118CD"/>
    <w:rsid w:val="00313442"/>
    <w:rsid w:val="00313BE5"/>
    <w:rsid w:val="003142E4"/>
    <w:rsid w:val="00315AD8"/>
    <w:rsid w:val="00315D03"/>
    <w:rsid w:val="00317789"/>
    <w:rsid w:val="00317B92"/>
    <w:rsid w:val="003202B4"/>
    <w:rsid w:val="0032217D"/>
    <w:rsid w:val="00322F91"/>
    <w:rsid w:val="0032303E"/>
    <w:rsid w:val="00324681"/>
    <w:rsid w:val="00325BF3"/>
    <w:rsid w:val="0032726D"/>
    <w:rsid w:val="00327C44"/>
    <w:rsid w:val="0033326C"/>
    <w:rsid w:val="00334037"/>
    <w:rsid w:val="00334065"/>
    <w:rsid w:val="00336AFA"/>
    <w:rsid w:val="00337066"/>
    <w:rsid w:val="00340311"/>
    <w:rsid w:val="00341088"/>
    <w:rsid w:val="00341602"/>
    <w:rsid w:val="00341855"/>
    <w:rsid w:val="00342032"/>
    <w:rsid w:val="003435BB"/>
    <w:rsid w:val="00344D38"/>
    <w:rsid w:val="003461DE"/>
    <w:rsid w:val="003464B7"/>
    <w:rsid w:val="00350399"/>
    <w:rsid w:val="003505F0"/>
    <w:rsid w:val="00353B68"/>
    <w:rsid w:val="00355925"/>
    <w:rsid w:val="0035743A"/>
    <w:rsid w:val="003579CD"/>
    <w:rsid w:val="00357B75"/>
    <w:rsid w:val="00360A44"/>
    <w:rsid w:val="00360B3C"/>
    <w:rsid w:val="00360C26"/>
    <w:rsid w:val="003626F4"/>
    <w:rsid w:val="00364EF3"/>
    <w:rsid w:val="003659B5"/>
    <w:rsid w:val="00370777"/>
    <w:rsid w:val="00373A89"/>
    <w:rsid w:val="00373FD8"/>
    <w:rsid w:val="003744A8"/>
    <w:rsid w:val="00374A9B"/>
    <w:rsid w:val="00376659"/>
    <w:rsid w:val="00376C4F"/>
    <w:rsid w:val="00376E0C"/>
    <w:rsid w:val="00382389"/>
    <w:rsid w:val="00384DBB"/>
    <w:rsid w:val="00386586"/>
    <w:rsid w:val="00387625"/>
    <w:rsid w:val="003919C9"/>
    <w:rsid w:val="0039248D"/>
    <w:rsid w:val="003926D3"/>
    <w:rsid w:val="003931CA"/>
    <w:rsid w:val="00393D92"/>
    <w:rsid w:val="00394DE9"/>
    <w:rsid w:val="003967F8"/>
    <w:rsid w:val="00396C82"/>
    <w:rsid w:val="003A6075"/>
    <w:rsid w:val="003A6281"/>
    <w:rsid w:val="003A70D8"/>
    <w:rsid w:val="003B15F6"/>
    <w:rsid w:val="003B1B8A"/>
    <w:rsid w:val="003B206E"/>
    <w:rsid w:val="003B21CF"/>
    <w:rsid w:val="003B3A30"/>
    <w:rsid w:val="003B58FC"/>
    <w:rsid w:val="003B6256"/>
    <w:rsid w:val="003C03A6"/>
    <w:rsid w:val="003C1DC5"/>
    <w:rsid w:val="003C2EF1"/>
    <w:rsid w:val="003C51B2"/>
    <w:rsid w:val="003C56F6"/>
    <w:rsid w:val="003C733B"/>
    <w:rsid w:val="003D144B"/>
    <w:rsid w:val="003D2392"/>
    <w:rsid w:val="003D3091"/>
    <w:rsid w:val="003D3308"/>
    <w:rsid w:val="003D3E49"/>
    <w:rsid w:val="003D6433"/>
    <w:rsid w:val="003E149F"/>
    <w:rsid w:val="003E2255"/>
    <w:rsid w:val="003E299D"/>
    <w:rsid w:val="003E3942"/>
    <w:rsid w:val="003E460F"/>
    <w:rsid w:val="003E4FB3"/>
    <w:rsid w:val="003F0F87"/>
    <w:rsid w:val="003F3F95"/>
    <w:rsid w:val="003F4365"/>
    <w:rsid w:val="003F4CBC"/>
    <w:rsid w:val="003F505B"/>
    <w:rsid w:val="003F5477"/>
    <w:rsid w:val="003F5883"/>
    <w:rsid w:val="003F6ACC"/>
    <w:rsid w:val="004021E5"/>
    <w:rsid w:val="00402933"/>
    <w:rsid w:val="0040374D"/>
    <w:rsid w:val="00404196"/>
    <w:rsid w:val="00404FB2"/>
    <w:rsid w:val="0040512F"/>
    <w:rsid w:val="00407240"/>
    <w:rsid w:val="004077BD"/>
    <w:rsid w:val="00407A9C"/>
    <w:rsid w:val="004100CB"/>
    <w:rsid w:val="004101F2"/>
    <w:rsid w:val="00410F72"/>
    <w:rsid w:val="00412645"/>
    <w:rsid w:val="0041277C"/>
    <w:rsid w:val="004144B4"/>
    <w:rsid w:val="004144BF"/>
    <w:rsid w:val="00414FDB"/>
    <w:rsid w:val="00416AD7"/>
    <w:rsid w:val="00416E40"/>
    <w:rsid w:val="00420515"/>
    <w:rsid w:val="00420DA8"/>
    <w:rsid w:val="00420F0D"/>
    <w:rsid w:val="004219FA"/>
    <w:rsid w:val="00423FFF"/>
    <w:rsid w:val="00425CD7"/>
    <w:rsid w:val="004262A5"/>
    <w:rsid w:val="0042766A"/>
    <w:rsid w:val="00431D28"/>
    <w:rsid w:val="00431E97"/>
    <w:rsid w:val="00431F90"/>
    <w:rsid w:val="00433E04"/>
    <w:rsid w:val="004360E0"/>
    <w:rsid w:val="004363D7"/>
    <w:rsid w:val="00440801"/>
    <w:rsid w:val="00443026"/>
    <w:rsid w:val="00444222"/>
    <w:rsid w:val="00444D18"/>
    <w:rsid w:val="00446EF8"/>
    <w:rsid w:val="00447AB1"/>
    <w:rsid w:val="00450363"/>
    <w:rsid w:val="00450734"/>
    <w:rsid w:val="00454309"/>
    <w:rsid w:val="0045493D"/>
    <w:rsid w:val="0045505E"/>
    <w:rsid w:val="00456388"/>
    <w:rsid w:val="00461584"/>
    <w:rsid w:val="004644CD"/>
    <w:rsid w:val="00464541"/>
    <w:rsid w:val="00465A76"/>
    <w:rsid w:val="00465D4F"/>
    <w:rsid w:val="00465E78"/>
    <w:rsid w:val="0046668C"/>
    <w:rsid w:val="00470664"/>
    <w:rsid w:val="0047179C"/>
    <w:rsid w:val="0047301F"/>
    <w:rsid w:val="004740DC"/>
    <w:rsid w:val="004758D2"/>
    <w:rsid w:val="00475E2C"/>
    <w:rsid w:val="00480BA8"/>
    <w:rsid w:val="00481D32"/>
    <w:rsid w:val="004834EE"/>
    <w:rsid w:val="00483FB6"/>
    <w:rsid w:val="00487828"/>
    <w:rsid w:val="00490621"/>
    <w:rsid w:val="004913DA"/>
    <w:rsid w:val="00491E28"/>
    <w:rsid w:val="00492004"/>
    <w:rsid w:val="004938CF"/>
    <w:rsid w:val="00494B50"/>
    <w:rsid w:val="004A33BC"/>
    <w:rsid w:val="004A4BF8"/>
    <w:rsid w:val="004A55EC"/>
    <w:rsid w:val="004A591C"/>
    <w:rsid w:val="004A7E4B"/>
    <w:rsid w:val="004B12D1"/>
    <w:rsid w:val="004B14C8"/>
    <w:rsid w:val="004B27E5"/>
    <w:rsid w:val="004B2E23"/>
    <w:rsid w:val="004B575C"/>
    <w:rsid w:val="004B686C"/>
    <w:rsid w:val="004B70E9"/>
    <w:rsid w:val="004C2EBA"/>
    <w:rsid w:val="004C32BE"/>
    <w:rsid w:val="004C713B"/>
    <w:rsid w:val="004C764F"/>
    <w:rsid w:val="004C7699"/>
    <w:rsid w:val="004D2C50"/>
    <w:rsid w:val="004D4408"/>
    <w:rsid w:val="004E1333"/>
    <w:rsid w:val="004E1FE7"/>
    <w:rsid w:val="004E53D8"/>
    <w:rsid w:val="004F0789"/>
    <w:rsid w:val="004F2580"/>
    <w:rsid w:val="004F5FE4"/>
    <w:rsid w:val="004F6F96"/>
    <w:rsid w:val="004F7291"/>
    <w:rsid w:val="0050050B"/>
    <w:rsid w:val="0050220C"/>
    <w:rsid w:val="0050482D"/>
    <w:rsid w:val="00505B04"/>
    <w:rsid w:val="00505E2C"/>
    <w:rsid w:val="005067E7"/>
    <w:rsid w:val="00507540"/>
    <w:rsid w:val="00507A28"/>
    <w:rsid w:val="005101FF"/>
    <w:rsid w:val="005102C9"/>
    <w:rsid w:val="005120E8"/>
    <w:rsid w:val="0051231C"/>
    <w:rsid w:val="0051441D"/>
    <w:rsid w:val="005154DA"/>
    <w:rsid w:val="005158FC"/>
    <w:rsid w:val="00516295"/>
    <w:rsid w:val="00520539"/>
    <w:rsid w:val="00522D36"/>
    <w:rsid w:val="00523D2B"/>
    <w:rsid w:val="00525C4C"/>
    <w:rsid w:val="00527AF2"/>
    <w:rsid w:val="00530546"/>
    <w:rsid w:val="00530B7A"/>
    <w:rsid w:val="00531A82"/>
    <w:rsid w:val="00532274"/>
    <w:rsid w:val="00532579"/>
    <w:rsid w:val="005331A9"/>
    <w:rsid w:val="00533CE7"/>
    <w:rsid w:val="00534171"/>
    <w:rsid w:val="005344E6"/>
    <w:rsid w:val="00537810"/>
    <w:rsid w:val="00541DDF"/>
    <w:rsid w:val="00542176"/>
    <w:rsid w:val="00542601"/>
    <w:rsid w:val="00542CEB"/>
    <w:rsid w:val="00544546"/>
    <w:rsid w:val="0054787C"/>
    <w:rsid w:val="00550AFD"/>
    <w:rsid w:val="00550B86"/>
    <w:rsid w:val="00551155"/>
    <w:rsid w:val="00552EC1"/>
    <w:rsid w:val="00553977"/>
    <w:rsid w:val="00554AD5"/>
    <w:rsid w:val="0055628F"/>
    <w:rsid w:val="0055774A"/>
    <w:rsid w:val="00562704"/>
    <w:rsid w:val="0056392D"/>
    <w:rsid w:val="00563D07"/>
    <w:rsid w:val="005664E5"/>
    <w:rsid w:val="0057182C"/>
    <w:rsid w:val="005740DE"/>
    <w:rsid w:val="00580F76"/>
    <w:rsid w:val="00581252"/>
    <w:rsid w:val="00581287"/>
    <w:rsid w:val="005851E5"/>
    <w:rsid w:val="00585432"/>
    <w:rsid w:val="00585679"/>
    <w:rsid w:val="0058665E"/>
    <w:rsid w:val="005877BE"/>
    <w:rsid w:val="00587F17"/>
    <w:rsid w:val="00590135"/>
    <w:rsid w:val="00591D7D"/>
    <w:rsid w:val="0059326D"/>
    <w:rsid w:val="0059370E"/>
    <w:rsid w:val="00596300"/>
    <w:rsid w:val="00596B8D"/>
    <w:rsid w:val="00597312"/>
    <w:rsid w:val="005A10F7"/>
    <w:rsid w:val="005A24AF"/>
    <w:rsid w:val="005A2D04"/>
    <w:rsid w:val="005A3013"/>
    <w:rsid w:val="005A35D9"/>
    <w:rsid w:val="005A378E"/>
    <w:rsid w:val="005A482B"/>
    <w:rsid w:val="005A5292"/>
    <w:rsid w:val="005A5DDC"/>
    <w:rsid w:val="005A634C"/>
    <w:rsid w:val="005A675A"/>
    <w:rsid w:val="005B17E8"/>
    <w:rsid w:val="005B5054"/>
    <w:rsid w:val="005B5FB8"/>
    <w:rsid w:val="005B701C"/>
    <w:rsid w:val="005B70D6"/>
    <w:rsid w:val="005C1949"/>
    <w:rsid w:val="005C322B"/>
    <w:rsid w:val="005C36CF"/>
    <w:rsid w:val="005C38AD"/>
    <w:rsid w:val="005C48C4"/>
    <w:rsid w:val="005C6124"/>
    <w:rsid w:val="005C63F7"/>
    <w:rsid w:val="005D087F"/>
    <w:rsid w:val="005D2CD8"/>
    <w:rsid w:val="005D3A46"/>
    <w:rsid w:val="005D3CBB"/>
    <w:rsid w:val="005D6D75"/>
    <w:rsid w:val="005D727C"/>
    <w:rsid w:val="005E01EE"/>
    <w:rsid w:val="005E185B"/>
    <w:rsid w:val="005E1CD2"/>
    <w:rsid w:val="005E1DF2"/>
    <w:rsid w:val="005E213D"/>
    <w:rsid w:val="005E4C0A"/>
    <w:rsid w:val="005E6D48"/>
    <w:rsid w:val="005E7385"/>
    <w:rsid w:val="005E74FD"/>
    <w:rsid w:val="005F5850"/>
    <w:rsid w:val="005F5A4E"/>
    <w:rsid w:val="005F751F"/>
    <w:rsid w:val="00600FF3"/>
    <w:rsid w:val="00601821"/>
    <w:rsid w:val="00601CFF"/>
    <w:rsid w:val="0060206C"/>
    <w:rsid w:val="00603BAD"/>
    <w:rsid w:val="00603FDA"/>
    <w:rsid w:val="006113A2"/>
    <w:rsid w:val="006113EE"/>
    <w:rsid w:val="006116BA"/>
    <w:rsid w:val="00611ECC"/>
    <w:rsid w:val="00616422"/>
    <w:rsid w:val="00617CEF"/>
    <w:rsid w:val="00617F36"/>
    <w:rsid w:val="006246A3"/>
    <w:rsid w:val="00624D23"/>
    <w:rsid w:val="00624EE1"/>
    <w:rsid w:val="006256C5"/>
    <w:rsid w:val="0062786B"/>
    <w:rsid w:val="00627BCB"/>
    <w:rsid w:val="006307B4"/>
    <w:rsid w:val="00630ED4"/>
    <w:rsid w:val="006311FA"/>
    <w:rsid w:val="00632501"/>
    <w:rsid w:val="00632A75"/>
    <w:rsid w:val="00633628"/>
    <w:rsid w:val="00633657"/>
    <w:rsid w:val="00634C8B"/>
    <w:rsid w:val="006352C6"/>
    <w:rsid w:val="00636FB9"/>
    <w:rsid w:val="00637434"/>
    <w:rsid w:val="00637D21"/>
    <w:rsid w:val="00637DC3"/>
    <w:rsid w:val="0064031A"/>
    <w:rsid w:val="00641D0F"/>
    <w:rsid w:val="0064326D"/>
    <w:rsid w:val="00645E1A"/>
    <w:rsid w:val="006467E1"/>
    <w:rsid w:val="00647BE7"/>
    <w:rsid w:val="006525EC"/>
    <w:rsid w:val="00654485"/>
    <w:rsid w:val="00654766"/>
    <w:rsid w:val="00655252"/>
    <w:rsid w:val="00656718"/>
    <w:rsid w:val="006619A0"/>
    <w:rsid w:val="00662216"/>
    <w:rsid w:val="00666410"/>
    <w:rsid w:val="00667F82"/>
    <w:rsid w:val="0067039E"/>
    <w:rsid w:val="00670E8D"/>
    <w:rsid w:val="00671C43"/>
    <w:rsid w:val="00672616"/>
    <w:rsid w:val="006731B4"/>
    <w:rsid w:val="0067325A"/>
    <w:rsid w:val="006744DA"/>
    <w:rsid w:val="0067499C"/>
    <w:rsid w:val="006758A5"/>
    <w:rsid w:val="006776B9"/>
    <w:rsid w:val="0068085B"/>
    <w:rsid w:val="00681621"/>
    <w:rsid w:val="00681B2B"/>
    <w:rsid w:val="00682FAE"/>
    <w:rsid w:val="00684052"/>
    <w:rsid w:val="0068473D"/>
    <w:rsid w:val="006847D0"/>
    <w:rsid w:val="006851DA"/>
    <w:rsid w:val="0068644E"/>
    <w:rsid w:val="00690CE1"/>
    <w:rsid w:val="0069275E"/>
    <w:rsid w:val="00692C83"/>
    <w:rsid w:val="00694692"/>
    <w:rsid w:val="0069482B"/>
    <w:rsid w:val="00695CFB"/>
    <w:rsid w:val="00696A0B"/>
    <w:rsid w:val="006A18BD"/>
    <w:rsid w:val="006A25D9"/>
    <w:rsid w:val="006A2F85"/>
    <w:rsid w:val="006A754F"/>
    <w:rsid w:val="006A7C1A"/>
    <w:rsid w:val="006A7CBD"/>
    <w:rsid w:val="006B02A7"/>
    <w:rsid w:val="006B041A"/>
    <w:rsid w:val="006B0666"/>
    <w:rsid w:val="006B081C"/>
    <w:rsid w:val="006B097D"/>
    <w:rsid w:val="006B22AA"/>
    <w:rsid w:val="006B5B2C"/>
    <w:rsid w:val="006B73F2"/>
    <w:rsid w:val="006B745A"/>
    <w:rsid w:val="006B74E5"/>
    <w:rsid w:val="006B7994"/>
    <w:rsid w:val="006C12B6"/>
    <w:rsid w:val="006C3AC4"/>
    <w:rsid w:val="006C3E7F"/>
    <w:rsid w:val="006C60AF"/>
    <w:rsid w:val="006C6238"/>
    <w:rsid w:val="006C72E0"/>
    <w:rsid w:val="006D0BF5"/>
    <w:rsid w:val="006D1398"/>
    <w:rsid w:val="006D2E47"/>
    <w:rsid w:val="006D615D"/>
    <w:rsid w:val="006D7653"/>
    <w:rsid w:val="006D7BF3"/>
    <w:rsid w:val="006E0270"/>
    <w:rsid w:val="006E0F7F"/>
    <w:rsid w:val="006E116E"/>
    <w:rsid w:val="006E1267"/>
    <w:rsid w:val="006E50D9"/>
    <w:rsid w:val="006E52A2"/>
    <w:rsid w:val="006E56F9"/>
    <w:rsid w:val="006E60B4"/>
    <w:rsid w:val="006E79AA"/>
    <w:rsid w:val="006F0874"/>
    <w:rsid w:val="006F0EF3"/>
    <w:rsid w:val="006F0FE2"/>
    <w:rsid w:val="006F1DBA"/>
    <w:rsid w:val="006F1DD6"/>
    <w:rsid w:val="006F28C4"/>
    <w:rsid w:val="006F2F49"/>
    <w:rsid w:val="006F4598"/>
    <w:rsid w:val="006F4A2C"/>
    <w:rsid w:val="006F5810"/>
    <w:rsid w:val="006F5C77"/>
    <w:rsid w:val="006F5EB2"/>
    <w:rsid w:val="00700CF7"/>
    <w:rsid w:val="007018C2"/>
    <w:rsid w:val="00701CDA"/>
    <w:rsid w:val="0070355A"/>
    <w:rsid w:val="00703946"/>
    <w:rsid w:val="00703F4C"/>
    <w:rsid w:val="00704E28"/>
    <w:rsid w:val="00705357"/>
    <w:rsid w:val="00705DEA"/>
    <w:rsid w:val="0070750A"/>
    <w:rsid w:val="00707665"/>
    <w:rsid w:val="00707D05"/>
    <w:rsid w:val="007104FD"/>
    <w:rsid w:val="007110C4"/>
    <w:rsid w:val="00712949"/>
    <w:rsid w:val="0071346F"/>
    <w:rsid w:val="00713535"/>
    <w:rsid w:val="00713AC9"/>
    <w:rsid w:val="00713F60"/>
    <w:rsid w:val="00715785"/>
    <w:rsid w:val="007163C0"/>
    <w:rsid w:val="00716733"/>
    <w:rsid w:val="00716E64"/>
    <w:rsid w:val="00717BBA"/>
    <w:rsid w:val="00717F63"/>
    <w:rsid w:val="00720F98"/>
    <w:rsid w:val="0072351A"/>
    <w:rsid w:val="00723E3A"/>
    <w:rsid w:val="0072411F"/>
    <w:rsid w:val="007273B6"/>
    <w:rsid w:val="00730026"/>
    <w:rsid w:val="00733294"/>
    <w:rsid w:val="00734EBD"/>
    <w:rsid w:val="00735197"/>
    <w:rsid w:val="00735857"/>
    <w:rsid w:val="007359D6"/>
    <w:rsid w:val="00735C43"/>
    <w:rsid w:val="00737348"/>
    <w:rsid w:val="0073768A"/>
    <w:rsid w:val="00737D66"/>
    <w:rsid w:val="00741FCF"/>
    <w:rsid w:val="00742B84"/>
    <w:rsid w:val="007431CE"/>
    <w:rsid w:val="00743DA9"/>
    <w:rsid w:val="00743FFE"/>
    <w:rsid w:val="0074421A"/>
    <w:rsid w:val="007447F5"/>
    <w:rsid w:val="00745040"/>
    <w:rsid w:val="00745849"/>
    <w:rsid w:val="0074606F"/>
    <w:rsid w:val="007474EB"/>
    <w:rsid w:val="00753A03"/>
    <w:rsid w:val="00753E01"/>
    <w:rsid w:val="007540E6"/>
    <w:rsid w:val="00756035"/>
    <w:rsid w:val="00761BBE"/>
    <w:rsid w:val="00762C45"/>
    <w:rsid w:val="00762C93"/>
    <w:rsid w:val="007632EF"/>
    <w:rsid w:val="00763C12"/>
    <w:rsid w:val="00763CD4"/>
    <w:rsid w:val="00766730"/>
    <w:rsid w:val="007678BF"/>
    <w:rsid w:val="0077384C"/>
    <w:rsid w:val="007767FB"/>
    <w:rsid w:val="007807D1"/>
    <w:rsid w:val="00783E74"/>
    <w:rsid w:val="00784EBE"/>
    <w:rsid w:val="00785598"/>
    <w:rsid w:val="00786566"/>
    <w:rsid w:val="0078755E"/>
    <w:rsid w:val="00787CEB"/>
    <w:rsid w:val="00791CA0"/>
    <w:rsid w:val="00794053"/>
    <w:rsid w:val="007940F7"/>
    <w:rsid w:val="00794433"/>
    <w:rsid w:val="007946E6"/>
    <w:rsid w:val="00796FF9"/>
    <w:rsid w:val="00797032"/>
    <w:rsid w:val="007A1A66"/>
    <w:rsid w:val="007A22BE"/>
    <w:rsid w:val="007A3780"/>
    <w:rsid w:val="007A491F"/>
    <w:rsid w:val="007A4CBE"/>
    <w:rsid w:val="007A769A"/>
    <w:rsid w:val="007B16EB"/>
    <w:rsid w:val="007B25D4"/>
    <w:rsid w:val="007B4396"/>
    <w:rsid w:val="007B4896"/>
    <w:rsid w:val="007B62F4"/>
    <w:rsid w:val="007B76F9"/>
    <w:rsid w:val="007C1892"/>
    <w:rsid w:val="007C26CC"/>
    <w:rsid w:val="007C4C19"/>
    <w:rsid w:val="007C6479"/>
    <w:rsid w:val="007C6828"/>
    <w:rsid w:val="007C6963"/>
    <w:rsid w:val="007C7EDB"/>
    <w:rsid w:val="007D1745"/>
    <w:rsid w:val="007D2DED"/>
    <w:rsid w:val="007D36C3"/>
    <w:rsid w:val="007D4332"/>
    <w:rsid w:val="007D46C9"/>
    <w:rsid w:val="007D4D04"/>
    <w:rsid w:val="007E0F44"/>
    <w:rsid w:val="007E2C12"/>
    <w:rsid w:val="007E4372"/>
    <w:rsid w:val="007E67D6"/>
    <w:rsid w:val="007F0203"/>
    <w:rsid w:val="007F227E"/>
    <w:rsid w:val="007F338C"/>
    <w:rsid w:val="007F4216"/>
    <w:rsid w:val="007F4DB1"/>
    <w:rsid w:val="007F4DB7"/>
    <w:rsid w:val="007F5737"/>
    <w:rsid w:val="007F7606"/>
    <w:rsid w:val="007F7E11"/>
    <w:rsid w:val="00800372"/>
    <w:rsid w:val="00804ED1"/>
    <w:rsid w:val="008054CD"/>
    <w:rsid w:val="0080558B"/>
    <w:rsid w:val="008064EB"/>
    <w:rsid w:val="0080711A"/>
    <w:rsid w:val="00807919"/>
    <w:rsid w:val="008079FB"/>
    <w:rsid w:val="00813168"/>
    <w:rsid w:val="0081378E"/>
    <w:rsid w:val="00813B53"/>
    <w:rsid w:val="00814053"/>
    <w:rsid w:val="008152BD"/>
    <w:rsid w:val="0081532A"/>
    <w:rsid w:val="00815F61"/>
    <w:rsid w:val="0081678C"/>
    <w:rsid w:val="0081768B"/>
    <w:rsid w:val="008203B5"/>
    <w:rsid w:val="0082095B"/>
    <w:rsid w:val="00821D06"/>
    <w:rsid w:val="00823229"/>
    <w:rsid w:val="008249A5"/>
    <w:rsid w:val="008250F8"/>
    <w:rsid w:val="008266EE"/>
    <w:rsid w:val="00826E98"/>
    <w:rsid w:val="00827080"/>
    <w:rsid w:val="0083059E"/>
    <w:rsid w:val="00831960"/>
    <w:rsid w:val="00832E50"/>
    <w:rsid w:val="00833387"/>
    <w:rsid w:val="00833624"/>
    <w:rsid w:val="0083415C"/>
    <w:rsid w:val="00834F84"/>
    <w:rsid w:val="00835242"/>
    <w:rsid w:val="008356AE"/>
    <w:rsid w:val="0083701E"/>
    <w:rsid w:val="0084062D"/>
    <w:rsid w:val="00842613"/>
    <w:rsid w:val="0084333E"/>
    <w:rsid w:val="0084342A"/>
    <w:rsid w:val="00844ACF"/>
    <w:rsid w:val="008458C2"/>
    <w:rsid w:val="00846893"/>
    <w:rsid w:val="008474FA"/>
    <w:rsid w:val="00852CA6"/>
    <w:rsid w:val="008538D6"/>
    <w:rsid w:val="00854A4E"/>
    <w:rsid w:val="008575E6"/>
    <w:rsid w:val="008604B3"/>
    <w:rsid w:val="00860DFC"/>
    <w:rsid w:val="00861C7B"/>
    <w:rsid w:val="00862CF8"/>
    <w:rsid w:val="00863D9E"/>
    <w:rsid w:val="00863FBA"/>
    <w:rsid w:val="008640E7"/>
    <w:rsid w:val="00864FC3"/>
    <w:rsid w:val="00867B6E"/>
    <w:rsid w:val="00867E21"/>
    <w:rsid w:val="00870DE0"/>
    <w:rsid w:val="00873C1A"/>
    <w:rsid w:val="00873E5F"/>
    <w:rsid w:val="008759CE"/>
    <w:rsid w:val="00875E13"/>
    <w:rsid w:val="00875F89"/>
    <w:rsid w:val="00876957"/>
    <w:rsid w:val="008769D8"/>
    <w:rsid w:val="008771EE"/>
    <w:rsid w:val="00877B5D"/>
    <w:rsid w:val="00881E28"/>
    <w:rsid w:val="00883B91"/>
    <w:rsid w:val="008851DB"/>
    <w:rsid w:val="00885657"/>
    <w:rsid w:val="00885C69"/>
    <w:rsid w:val="0088651E"/>
    <w:rsid w:val="00886D97"/>
    <w:rsid w:val="00887104"/>
    <w:rsid w:val="00887D55"/>
    <w:rsid w:val="008907A4"/>
    <w:rsid w:val="008943EE"/>
    <w:rsid w:val="00895DA6"/>
    <w:rsid w:val="008A2C24"/>
    <w:rsid w:val="008A417B"/>
    <w:rsid w:val="008A4B98"/>
    <w:rsid w:val="008A61AB"/>
    <w:rsid w:val="008A6544"/>
    <w:rsid w:val="008A6BD1"/>
    <w:rsid w:val="008A6F68"/>
    <w:rsid w:val="008B01CE"/>
    <w:rsid w:val="008B09AF"/>
    <w:rsid w:val="008B17C6"/>
    <w:rsid w:val="008B23BF"/>
    <w:rsid w:val="008B3BED"/>
    <w:rsid w:val="008B3DBC"/>
    <w:rsid w:val="008B3E89"/>
    <w:rsid w:val="008B651B"/>
    <w:rsid w:val="008B746B"/>
    <w:rsid w:val="008B7553"/>
    <w:rsid w:val="008C02BF"/>
    <w:rsid w:val="008C10F0"/>
    <w:rsid w:val="008C17E5"/>
    <w:rsid w:val="008C234B"/>
    <w:rsid w:val="008C28C9"/>
    <w:rsid w:val="008C38A1"/>
    <w:rsid w:val="008C4E73"/>
    <w:rsid w:val="008C5B78"/>
    <w:rsid w:val="008D2181"/>
    <w:rsid w:val="008D31EC"/>
    <w:rsid w:val="008D4E89"/>
    <w:rsid w:val="008D57A3"/>
    <w:rsid w:val="008D590E"/>
    <w:rsid w:val="008D6101"/>
    <w:rsid w:val="008D69DA"/>
    <w:rsid w:val="008D78A9"/>
    <w:rsid w:val="008D7C4B"/>
    <w:rsid w:val="008D7DA4"/>
    <w:rsid w:val="008E1DFC"/>
    <w:rsid w:val="008E27CD"/>
    <w:rsid w:val="008E44A1"/>
    <w:rsid w:val="008E4E83"/>
    <w:rsid w:val="008E6095"/>
    <w:rsid w:val="008E6941"/>
    <w:rsid w:val="008E7A64"/>
    <w:rsid w:val="008F23A8"/>
    <w:rsid w:val="008F3BB8"/>
    <w:rsid w:val="008F4DFF"/>
    <w:rsid w:val="008F7D14"/>
    <w:rsid w:val="009018BE"/>
    <w:rsid w:val="0090315A"/>
    <w:rsid w:val="0090379B"/>
    <w:rsid w:val="00905793"/>
    <w:rsid w:val="00905B27"/>
    <w:rsid w:val="00905C17"/>
    <w:rsid w:val="00906A92"/>
    <w:rsid w:val="0091111B"/>
    <w:rsid w:val="00912102"/>
    <w:rsid w:val="009132FC"/>
    <w:rsid w:val="009141CE"/>
    <w:rsid w:val="009202BF"/>
    <w:rsid w:val="0092147E"/>
    <w:rsid w:val="0092256F"/>
    <w:rsid w:val="009259B3"/>
    <w:rsid w:val="0093072A"/>
    <w:rsid w:val="00930D4B"/>
    <w:rsid w:val="00932EE1"/>
    <w:rsid w:val="00932F41"/>
    <w:rsid w:val="00933F39"/>
    <w:rsid w:val="00935624"/>
    <w:rsid w:val="00937BF6"/>
    <w:rsid w:val="00941F82"/>
    <w:rsid w:val="009421AA"/>
    <w:rsid w:val="00942510"/>
    <w:rsid w:val="0094271A"/>
    <w:rsid w:val="009437F5"/>
    <w:rsid w:val="00943C23"/>
    <w:rsid w:val="009455C0"/>
    <w:rsid w:val="00945EEB"/>
    <w:rsid w:val="00947DD7"/>
    <w:rsid w:val="00947F53"/>
    <w:rsid w:val="009517A6"/>
    <w:rsid w:val="00951BA2"/>
    <w:rsid w:val="00952013"/>
    <w:rsid w:val="009532E6"/>
    <w:rsid w:val="00955687"/>
    <w:rsid w:val="00957134"/>
    <w:rsid w:val="00962F5F"/>
    <w:rsid w:val="00963826"/>
    <w:rsid w:val="00964EC3"/>
    <w:rsid w:val="009651FF"/>
    <w:rsid w:val="00965369"/>
    <w:rsid w:val="009657E5"/>
    <w:rsid w:val="00966B8B"/>
    <w:rsid w:val="00970F90"/>
    <w:rsid w:val="009725B1"/>
    <w:rsid w:val="009733C9"/>
    <w:rsid w:val="00974918"/>
    <w:rsid w:val="0097542D"/>
    <w:rsid w:val="00975527"/>
    <w:rsid w:val="009755F0"/>
    <w:rsid w:val="00975E46"/>
    <w:rsid w:val="00976F67"/>
    <w:rsid w:val="00977514"/>
    <w:rsid w:val="00977A23"/>
    <w:rsid w:val="00980FE7"/>
    <w:rsid w:val="00982045"/>
    <w:rsid w:val="0098211D"/>
    <w:rsid w:val="00984C4C"/>
    <w:rsid w:val="00986881"/>
    <w:rsid w:val="00986C41"/>
    <w:rsid w:val="00986D46"/>
    <w:rsid w:val="00986EF8"/>
    <w:rsid w:val="0098727E"/>
    <w:rsid w:val="00990D13"/>
    <w:rsid w:val="00993363"/>
    <w:rsid w:val="0099401D"/>
    <w:rsid w:val="00994178"/>
    <w:rsid w:val="00994854"/>
    <w:rsid w:val="00994999"/>
    <w:rsid w:val="009961C9"/>
    <w:rsid w:val="00996A85"/>
    <w:rsid w:val="00996FDE"/>
    <w:rsid w:val="00997122"/>
    <w:rsid w:val="009A0AF2"/>
    <w:rsid w:val="009A57B8"/>
    <w:rsid w:val="009B0037"/>
    <w:rsid w:val="009B113C"/>
    <w:rsid w:val="009B2C6B"/>
    <w:rsid w:val="009B2F62"/>
    <w:rsid w:val="009B385F"/>
    <w:rsid w:val="009B3ADD"/>
    <w:rsid w:val="009B5B0F"/>
    <w:rsid w:val="009B6383"/>
    <w:rsid w:val="009B6AF5"/>
    <w:rsid w:val="009B7538"/>
    <w:rsid w:val="009C2076"/>
    <w:rsid w:val="009C3609"/>
    <w:rsid w:val="009C402C"/>
    <w:rsid w:val="009C45A3"/>
    <w:rsid w:val="009C45B3"/>
    <w:rsid w:val="009C52EA"/>
    <w:rsid w:val="009C6B03"/>
    <w:rsid w:val="009C74B3"/>
    <w:rsid w:val="009D01F8"/>
    <w:rsid w:val="009D030F"/>
    <w:rsid w:val="009D1961"/>
    <w:rsid w:val="009D1B83"/>
    <w:rsid w:val="009D4496"/>
    <w:rsid w:val="009E0906"/>
    <w:rsid w:val="009E0FAE"/>
    <w:rsid w:val="009E2FE2"/>
    <w:rsid w:val="009E5CE2"/>
    <w:rsid w:val="009E62EA"/>
    <w:rsid w:val="009E67CE"/>
    <w:rsid w:val="009F00B8"/>
    <w:rsid w:val="009F08E9"/>
    <w:rsid w:val="009F4ADD"/>
    <w:rsid w:val="009F6030"/>
    <w:rsid w:val="009F6912"/>
    <w:rsid w:val="009F7B5B"/>
    <w:rsid w:val="009F7C72"/>
    <w:rsid w:val="00A00072"/>
    <w:rsid w:val="00A00903"/>
    <w:rsid w:val="00A030DA"/>
    <w:rsid w:val="00A036DB"/>
    <w:rsid w:val="00A041B4"/>
    <w:rsid w:val="00A04627"/>
    <w:rsid w:val="00A046A1"/>
    <w:rsid w:val="00A05C6B"/>
    <w:rsid w:val="00A05C6E"/>
    <w:rsid w:val="00A0651C"/>
    <w:rsid w:val="00A075A5"/>
    <w:rsid w:val="00A10AF8"/>
    <w:rsid w:val="00A11380"/>
    <w:rsid w:val="00A11AF4"/>
    <w:rsid w:val="00A13201"/>
    <w:rsid w:val="00A13746"/>
    <w:rsid w:val="00A138E9"/>
    <w:rsid w:val="00A14126"/>
    <w:rsid w:val="00A1588C"/>
    <w:rsid w:val="00A15899"/>
    <w:rsid w:val="00A1592A"/>
    <w:rsid w:val="00A2185F"/>
    <w:rsid w:val="00A21F64"/>
    <w:rsid w:val="00A23F3A"/>
    <w:rsid w:val="00A24DCA"/>
    <w:rsid w:val="00A27F36"/>
    <w:rsid w:val="00A31206"/>
    <w:rsid w:val="00A31715"/>
    <w:rsid w:val="00A3171C"/>
    <w:rsid w:val="00A31915"/>
    <w:rsid w:val="00A31DDE"/>
    <w:rsid w:val="00A32C38"/>
    <w:rsid w:val="00A32F1D"/>
    <w:rsid w:val="00A369A0"/>
    <w:rsid w:val="00A36A87"/>
    <w:rsid w:val="00A40B7B"/>
    <w:rsid w:val="00A416B4"/>
    <w:rsid w:val="00A42925"/>
    <w:rsid w:val="00A44B05"/>
    <w:rsid w:val="00A4685D"/>
    <w:rsid w:val="00A47043"/>
    <w:rsid w:val="00A476B5"/>
    <w:rsid w:val="00A528C2"/>
    <w:rsid w:val="00A530B9"/>
    <w:rsid w:val="00A5351F"/>
    <w:rsid w:val="00A54F23"/>
    <w:rsid w:val="00A5549E"/>
    <w:rsid w:val="00A55DD8"/>
    <w:rsid w:val="00A55E62"/>
    <w:rsid w:val="00A5627F"/>
    <w:rsid w:val="00A5677E"/>
    <w:rsid w:val="00A60C80"/>
    <w:rsid w:val="00A6370B"/>
    <w:rsid w:val="00A63F0C"/>
    <w:rsid w:val="00A651FC"/>
    <w:rsid w:val="00A666B2"/>
    <w:rsid w:val="00A6720B"/>
    <w:rsid w:val="00A71EC8"/>
    <w:rsid w:val="00A75060"/>
    <w:rsid w:val="00A76057"/>
    <w:rsid w:val="00A7678E"/>
    <w:rsid w:val="00A76912"/>
    <w:rsid w:val="00A77049"/>
    <w:rsid w:val="00A7730E"/>
    <w:rsid w:val="00A77AF1"/>
    <w:rsid w:val="00A81A21"/>
    <w:rsid w:val="00A821BC"/>
    <w:rsid w:val="00A82360"/>
    <w:rsid w:val="00A828CE"/>
    <w:rsid w:val="00A82BC2"/>
    <w:rsid w:val="00A841D8"/>
    <w:rsid w:val="00A84FC7"/>
    <w:rsid w:val="00A86335"/>
    <w:rsid w:val="00A87958"/>
    <w:rsid w:val="00A9097D"/>
    <w:rsid w:val="00A90A57"/>
    <w:rsid w:val="00A94579"/>
    <w:rsid w:val="00A96474"/>
    <w:rsid w:val="00A967CD"/>
    <w:rsid w:val="00AA07D8"/>
    <w:rsid w:val="00AA0F0C"/>
    <w:rsid w:val="00AA258D"/>
    <w:rsid w:val="00AA3633"/>
    <w:rsid w:val="00AA5695"/>
    <w:rsid w:val="00AA6AC4"/>
    <w:rsid w:val="00AB01B4"/>
    <w:rsid w:val="00AB08A2"/>
    <w:rsid w:val="00AB0F9A"/>
    <w:rsid w:val="00AB18FA"/>
    <w:rsid w:val="00AB1CC2"/>
    <w:rsid w:val="00AB35EE"/>
    <w:rsid w:val="00AB3848"/>
    <w:rsid w:val="00AB3863"/>
    <w:rsid w:val="00AB5E05"/>
    <w:rsid w:val="00AB70B4"/>
    <w:rsid w:val="00AB7A3C"/>
    <w:rsid w:val="00AC001B"/>
    <w:rsid w:val="00AC02C8"/>
    <w:rsid w:val="00AC11A6"/>
    <w:rsid w:val="00AC1DE3"/>
    <w:rsid w:val="00AC30FD"/>
    <w:rsid w:val="00AC65C6"/>
    <w:rsid w:val="00AC7F0C"/>
    <w:rsid w:val="00AD0545"/>
    <w:rsid w:val="00AD3899"/>
    <w:rsid w:val="00AD49F5"/>
    <w:rsid w:val="00AD5B82"/>
    <w:rsid w:val="00AD6E4F"/>
    <w:rsid w:val="00AD7E6B"/>
    <w:rsid w:val="00AE1825"/>
    <w:rsid w:val="00AE4988"/>
    <w:rsid w:val="00AE4C98"/>
    <w:rsid w:val="00AE4D7D"/>
    <w:rsid w:val="00AE56BB"/>
    <w:rsid w:val="00AE6281"/>
    <w:rsid w:val="00AE6FBD"/>
    <w:rsid w:val="00AF07C0"/>
    <w:rsid w:val="00AF1973"/>
    <w:rsid w:val="00AF29F1"/>
    <w:rsid w:val="00AF39BB"/>
    <w:rsid w:val="00AF5FF3"/>
    <w:rsid w:val="00AF71CA"/>
    <w:rsid w:val="00AF7947"/>
    <w:rsid w:val="00B014CD"/>
    <w:rsid w:val="00B0267A"/>
    <w:rsid w:val="00B03866"/>
    <w:rsid w:val="00B06306"/>
    <w:rsid w:val="00B07E2B"/>
    <w:rsid w:val="00B13503"/>
    <w:rsid w:val="00B14DE5"/>
    <w:rsid w:val="00B15255"/>
    <w:rsid w:val="00B15620"/>
    <w:rsid w:val="00B1728C"/>
    <w:rsid w:val="00B207F1"/>
    <w:rsid w:val="00B2099C"/>
    <w:rsid w:val="00B21469"/>
    <w:rsid w:val="00B22AF0"/>
    <w:rsid w:val="00B22C28"/>
    <w:rsid w:val="00B25A4F"/>
    <w:rsid w:val="00B26697"/>
    <w:rsid w:val="00B2745A"/>
    <w:rsid w:val="00B30821"/>
    <w:rsid w:val="00B30926"/>
    <w:rsid w:val="00B31027"/>
    <w:rsid w:val="00B319C4"/>
    <w:rsid w:val="00B32905"/>
    <w:rsid w:val="00B343C7"/>
    <w:rsid w:val="00B3688C"/>
    <w:rsid w:val="00B378EC"/>
    <w:rsid w:val="00B40542"/>
    <w:rsid w:val="00B423C0"/>
    <w:rsid w:val="00B42A68"/>
    <w:rsid w:val="00B42CBB"/>
    <w:rsid w:val="00B43AE6"/>
    <w:rsid w:val="00B43B49"/>
    <w:rsid w:val="00B458CD"/>
    <w:rsid w:val="00B45E94"/>
    <w:rsid w:val="00B46423"/>
    <w:rsid w:val="00B46467"/>
    <w:rsid w:val="00B47F0E"/>
    <w:rsid w:val="00B529BD"/>
    <w:rsid w:val="00B5483C"/>
    <w:rsid w:val="00B573E7"/>
    <w:rsid w:val="00B60A7B"/>
    <w:rsid w:val="00B61713"/>
    <w:rsid w:val="00B6204B"/>
    <w:rsid w:val="00B7019F"/>
    <w:rsid w:val="00B71FF9"/>
    <w:rsid w:val="00B73E32"/>
    <w:rsid w:val="00B74208"/>
    <w:rsid w:val="00B75A7A"/>
    <w:rsid w:val="00B76C48"/>
    <w:rsid w:val="00B772D1"/>
    <w:rsid w:val="00B77FF1"/>
    <w:rsid w:val="00B813CF"/>
    <w:rsid w:val="00B81B9F"/>
    <w:rsid w:val="00B81E47"/>
    <w:rsid w:val="00B84C33"/>
    <w:rsid w:val="00B8727B"/>
    <w:rsid w:val="00B876EF"/>
    <w:rsid w:val="00B87AF6"/>
    <w:rsid w:val="00B902B0"/>
    <w:rsid w:val="00B9076D"/>
    <w:rsid w:val="00B90ED7"/>
    <w:rsid w:val="00B90FBD"/>
    <w:rsid w:val="00B91C04"/>
    <w:rsid w:val="00B96001"/>
    <w:rsid w:val="00B96048"/>
    <w:rsid w:val="00B97178"/>
    <w:rsid w:val="00B97A53"/>
    <w:rsid w:val="00B97F14"/>
    <w:rsid w:val="00BA0A05"/>
    <w:rsid w:val="00BA0DFA"/>
    <w:rsid w:val="00BA0F64"/>
    <w:rsid w:val="00BA1A5C"/>
    <w:rsid w:val="00BA7F20"/>
    <w:rsid w:val="00BB1636"/>
    <w:rsid w:val="00BB254B"/>
    <w:rsid w:val="00BB5307"/>
    <w:rsid w:val="00BB714C"/>
    <w:rsid w:val="00BB715C"/>
    <w:rsid w:val="00BC04AB"/>
    <w:rsid w:val="00BC059F"/>
    <w:rsid w:val="00BC18E3"/>
    <w:rsid w:val="00BC3648"/>
    <w:rsid w:val="00BC435E"/>
    <w:rsid w:val="00BC4CEC"/>
    <w:rsid w:val="00BC631A"/>
    <w:rsid w:val="00BC7770"/>
    <w:rsid w:val="00BD27A1"/>
    <w:rsid w:val="00BD29C1"/>
    <w:rsid w:val="00BD34B4"/>
    <w:rsid w:val="00BD350E"/>
    <w:rsid w:val="00BD4036"/>
    <w:rsid w:val="00BD443B"/>
    <w:rsid w:val="00BD5FBF"/>
    <w:rsid w:val="00BE0B65"/>
    <w:rsid w:val="00BE0C16"/>
    <w:rsid w:val="00BE2428"/>
    <w:rsid w:val="00BE4B50"/>
    <w:rsid w:val="00BE511F"/>
    <w:rsid w:val="00BE60C4"/>
    <w:rsid w:val="00BE66C7"/>
    <w:rsid w:val="00BE6E37"/>
    <w:rsid w:val="00BE6EA9"/>
    <w:rsid w:val="00BF14E5"/>
    <w:rsid w:val="00BF2365"/>
    <w:rsid w:val="00BF673B"/>
    <w:rsid w:val="00BF78B3"/>
    <w:rsid w:val="00C00982"/>
    <w:rsid w:val="00C01733"/>
    <w:rsid w:val="00C0192E"/>
    <w:rsid w:val="00C01AEE"/>
    <w:rsid w:val="00C01EBC"/>
    <w:rsid w:val="00C026C9"/>
    <w:rsid w:val="00C03DF7"/>
    <w:rsid w:val="00C06349"/>
    <w:rsid w:val="00C0636D"/>
    <w:rsid w:val="00C0673D"/>
    <w:rsid w:val="00C06F8F"/>
    <w:rsid w:val="00C071AB"/>
    <w:rsid w:val="00C07211"/>
    <w:rsid w:val="00C077FE"/>
    <w:rsid w:val="00C1107F"/>
    <w:rsid w:val="00C12018"/>
    <w:rsid w:val="00C12590"/>
    <w:rsid w:val="00C13928"/>
    <w:rsid w:val="00C16818"/>
    <w:rsid w:val="00C1779D"/>
    <w:rsid w:val="00C217AD"/>
    <w:rsid w:val="00C30B0B"/>
    <w:rsid w:val="00C30D9A"/>
    <w:rsid w:val="00C310F2"/>
    <w:rsid w:val="00C335F4"/>
    <w:rsid w:val="00C33A08"/>
    <w:rsid w:val="00C35790"/>
    <w:rsid w:val="00C35CE0"/>
    <w:rsid w:val="00C36A18"/>
    <w:rsid w:val="00C37CE6"/>
    <w:rsid w:val="00C41851"/>
    <w:rsid w:val="00C41FB1"/>
    <w:rsid w:val="00C42033"/>
    <w:rsid w:val="00C445AF"/>
    <w:rsid w:val="00C45283"/>
    <w:rsid w:val="00C47D04"/>
    <w:rsid w:val="00C50041"/>
    <w:rsid w:val="00C51284"/>
    <w:rsid w:val="00C51518"/>
    <w:rsid w:val="00C5156F"/>
    <w:rsid w:val="00C521AA"/>
    <w:rsid w:val="00C53F3B"/>
    <w:rsid w:val="00C55F26"/>
    <w:rsid w:val="00C5637A"/>
    <w:rsid w:val="00C5770C"/>
    <w:rsid w:val="00C57984"/>
    <w:rsid w:val="00C579C4"/>
    <w:rsid w:val="00C6081C"/>
    <w:rsid w:val="00C60E91"/>
    <w:rsid w:val="00C650B4"/>
    <w:rsid w:val="00C66105"/>
    <w:rsid w:val="00C7060F"/>
    <w:rsid w:val="00C7178C"/>
    <w:rsid w:val="00C720F9"/>
    <w:rsid w:val="00C72B3B"/>
    <w:rsid w:val="00C732BE"/>
    <w:rsid w:val="00C736FA"/>
    <w:rsid w:val="00C82F8C"/>
    <w:rsid w:val="00C85402"/>
    <w:rsid w:val="00C863F3"/>
    <w:rsid w:val="00C87D78"/>
    <w:rsid w:val="00C91146"/>
    <w:rsid w:val="00C92334"/>
    <w:rsid w:val="00C9277A"/>
    <w:rsid w:val="00C9560F"/>
    <w:rsid w:val="00C95ACE"/>
    <w:rsid w:val="00C96432"/>
    <w:rsid w:val="00C965F5"/>
    <w:rsid w:val="00CA0D93"/>
    <w:rsid w:val="00CA167E"/>
    <w:rsid w:val="00CA1BDA"/>
    <w:rsid w:val="00CA2376"/>
    <w:rsid w:val="00CA358F"/>
    <w:rsid w:val="00CA3E36"/>
    <w:rsid w:val="00CA5745"/>
    <w:rsid w:val="00CA5B29"/>
    <w:rsid w:val="00CA73A6"/>
    <w:rsid w:val="00CA75D6"/>
    <w:rsid w:val="00CA77F9"/>
    <w:rsid w:val="00CB03B6"/>
    <w:rsid w:val="00CB35D5"/>
    <w:rsid w:val="00CB3D26"/>
    <w:rsid w:val="00CB41F6"/>
    <w:rsid w:val="00CB48E0"/>
    <w:rsid w:val="00CB4956"/>
    <w:rsid w:val="00CB4FA9"/>
    <w:rsid w:val="00CB72AF"/>
    <w:rsid w:val="00CB75C8"/>
    <w:rsid w:val="00CB7F44"/>
    <w:rsid w:val="00CC05E5"/>
    <w:rsid w:val="00CC0BCD"/>
    <w:rsid w:val="00CC1578"/>
    <w:rsid w:val="00CC2CE1"/>
    <w:rsid w:val="00CC31B0"/>
    <w:rsid w:val="00CC5C47"/>
    <w:rsid w:val="00CC5E88"/>
    <w:rsid w:val="00CD111B"/>
    <w:rsid w:val="00CD67C1"/>
    <w:rsid w:val="00CD7E26"/>
    <w:rsid w:val="00CE01DC"/>
    <w:rsid w:val="00CE28C6"/>
    <w:rsid w:val="00CE386D"/>
    <w:rsid w:val="00CE3F33"/>
    <w:rsid w:val="00CE5BF1"/>
    <w:rsid w:val="00CE6105"/>
    <w:rsid w:val="00CE680C"/>
    <w:rsid w:val="00CE7A3D"/>
    <w:rsid w:val="00CF01A8"/>
    <w:rsid w:val="00CF116C"/>
    <w:rsid w:val="00CF1F5F"/>
    <w:rsid w:val="00CF1FEF"/>
    <w:rsid w:val="00CF2133"/>
    <w:rsid w:val="00CF2DE9"/>
    <w:rsid w:val="00CF3E7D"/>
    <w:rsid w:val="00CF75D8"/>
    <w:rsid w:val="00CF7C96"/>
    <w:rsid w:val="00D00899"/>
    <w:rsid w:val="00D011B8"/>
    <w:rsid w:val="00D0283C"/>
    <w:rsid w:val="00D02952"/>
    <w:rsid w:val="00D02A40"/>
    <w:rsid w:val="00D0424E"/>
    <w:rsid w:val="00D053AD"/>
    <w:rsid w:val="00D0550A"/>
    <w:rsid w:val="00D05B70"/>
    <w:rsid w:val="00D05F44"/>
    <w:rsid w:val="00D06036"/>
    <w:rsid w:val="00D0627C"/>
    <w:rsid w:val="00D06B00"/>
    <w:rsid w:val="00D06C96"/>
    <w:rsid w:val="00D07612"/>
    <w:rsid w:val="00D10876"/>
    <w:rsid w:val="00D10924"/>
    <w:rsid w:val="00D11D79"/>
    <w:rsid w:val="00D12FCF"/>
    <w:rsid w:val="00D13593"/>
    <w:rsid w:val="00D14870"/>
    <w:rsid w:val="00D14D8E"/>
    <w:rsid w:val="00D14EB5"/>
    <w:rsid w:val="00D1595B"/>
    <w:rsid w:val="00D1626C"/>
    <w:rsid w:val="00D16393"/>
    <w:rsid w:val="00D16522"/>
    <w:rsid w:val="00D21A30"/>
    <w:rsid w:val="00D23A76"/>
    <w:rsid w:val="00D23FBA"/>
    <w:rsid w:val="00D25E45"/>
    <w:rsid w:val="00D267C3"/>
    <w:rsid w:val="00D274D8"/>
    <w:rsid w:val="00D27940"/>
    <w:rsid w:val="00D279CB"/>
    <w:rsid w:val="00D30FE1"/>
    <w:rsid w:val="00D31885"/>
    <w:rsid w:val="00D3471A"/>
    <w:rsid w:val="00D35C6A"/>
    <w:rsid w:val="00D36A18"/>
    <w:rsid w:val="00D37621"/>
    <w:rsid w:val="00D37A1E"/>
    <w:rsid w:val="00D4098A"/>
    <w:rsid w:val="00D427AC"/>
    <w:rsid w:val="00D42CB6"/>
    <w:rsid w:val="00D43090"/>
    <w:rsid w:val="00D439B5"/>
    <w:rsid w:val="00D479EA"/>
    <w:rsid w:val="00D504B5"/>
    <w:rsid w:val="00D506BD"/>
    <w:rsid w:val="00D5074D"/>
    <w:rsid w:val="00D50CB2"/>
    <w:rsid w:val="00D52744"/>
    <w:rsid w:val="00D52C9B"/>
    <w:rsid w:val="00D532E7"/>
    <w:rsid w:val="00D547E1"/>
    <w:rsid w:val="00D55EEF"/>
    <w:rsid w:val="00D60090"/>
    <w:rsid w:val="00D60C94"/>
    <w:rsid w:val="00D60E06"/>
    <w:rsid w:val="00D62393"/>
    <w:rsid w:val="00D64EEF"/>
    <w:rsid w:val="00D71076"/>
    <w:rsid w:val="00D715DF"/>
    <w:rsid w:val="00D72200"/>
    <w:rsid w:val="00D726AC"/>
    <w:rsid w:val="00D73149"/>
    <w:rsid w:val="00D741C5"/>
    <w:rsid w:val="00D74C2D"/>
    <w:rsid w:val="00D74E64"/>
    <w:rsid w:val="00D76279"/>
    <w:rsid w:val="00D77034"/>
    <w:rsid w:val="00D77378"/>
    <w:rsid w:val="00D80466"/>
    <w:rsid w:val="00D8108B"/>
    <w:rsid w:val="00D818ED"/>
    <w:rsid w:val="00D820A8"/>
    <w:rsid w:val="00D826BC"/>
    <w:rsid w:val="00D83C21"/>
    <w:rsid w:val="00D84BBD"/>
    <w:rsid w:val="00D853BF"/>
    <w:rsid w:val="00D86185"/>
    <w:rsid w:val="00D86896"/>
    <w:rsid w:val="00D86FF9"/>
    <w:rsid w:val="00D90ED1"/>
    <w:rsid w:val="00D91A04"/>
    <w:rsid w:val="00D92A1B"/>
    <w:rsid w:val="00D9359D"/>
    <w:rsid w:val="00D95BAA"/>
    <w:rsid w:val="00D960BD"/>
    <w:rsid w:val="00D96940"/>
    <w:rsid w:val="00D96E0F"/>
    <w:rsid w:val="00DA0EEA"/>
    <w:rsid w:val="00DA1A2E"/>
    <w:rsid w:val="00DA2A24"/>
    <w:rsid w:val="00DA4F16"/>
    <w:rsid w:val="00DA65B1"/>
    <w:rsid w:val="00DA6B71"/>
    <w:rsid w:val="00DA6E3F"/>
    <w:rsid w:val="00DB0CBB"/>
    <w:rsid w:val="00DB141D"/>
    <w:rsid w:val="00DB1D36"/>
    <w:rsid w:val="00DB1F7B"/>
    <w:rsid w:val="00DB1FE3"/>
    <w:rsid w:val="00DB26F5"/>
    <w:rsid w:val="00DB549E"/>
    <w:rsid w:val="00DB5574"/>
    <w:rsid w:val="00DB653A"/>
    <w:rsid w:val="00DC1FFD"/>
    <w:rsid w:val="00DC44C5"/>
    <w:rsid w:val="00DC5032"/>
    <w:rsid w:val="00DC6573"/>
    <w:rsid w:val="00DC7513"/>
    <w:rsid w:val="00DD2F44"/>
    <w:rsid w:val="00DD4843"/>
    <w:rsid w:val="00DD4A07"/>
    <w:rsid w:val="00DD5960"/>
    <w:rsid w:val="00DD605E"/>
    <w:rsid w:val="00DD785B"/>
    <w:rsid w:val="00DE0AB5"/>
    <w:rsid w:val="00DE27F9"/>
    <w:rsid w:val="00DE2F84"/>
    <w:rsid w:val="00DE4B4B"/>
    <w:rsid w:val="00DE5998"/>
    <w:rsid w:val="00DE6138"/>
    <w:rsid w:val="00DE6D08"/>
    <w:rsid w:val="00DE7306"/>
    <w:rsid w:val="00DF2368"/>
    <w:rsid w:val="00DF41D8"/>
    <w:rsid w:val="00DF5744"/>
    <w:rsid w:val="00DF5E46"/>
    <w:rsid w:val="00E00DF1"/>
    <w:rsid w:val="00E01B9A"/>
    <w:rsid w:val="00E02085"/>
    <w:rsid w:val="00E02B23"/>
    <w:rsid w:val="00E036DF"/>
    <w:rsid w:val="00E058D6"/>
    <w:rsid w:val="00E11230"/>
    <w:rsid w:val="00E13129"/>
    <w:rsid w:val="00E14DE6"/>
    <w:rsid w:val="00E15435"/>
    <w:rsid w:val="00E157DB"/>
    <w:rsid w:val="00E15BD9"/>
    <w:rsid w:val="00E15CE9"/>
    <w:rsid w:val="00E17903"/>
    <w:rsid w:val="00E17B3E"/>
    <w:rsid w:val="00E20EE1"/>
    <w:rsid w:val="00E26D97"/>
    <w:rsid w:val="00E323ED"/>
    <w:rsid w:val="00E3293F"/>
    <w:rsid w:val="00E33805"/>
    <w:rsid w:val="00E3383D"/>
    <w:rsid w:val="00E33A8C"/>
    <w:rsid w:val="00E33DDB"/>
    <w:rsid w:val="00E3594C"/>
    <w:rsid w:val="00E3664F"/>
    <w:rsid w:val="00E41023"/>
    <w:rsid w:val="00E4165E"/>
    <w:rsid w:val="00E42BEE"/>
    <w:rsid w:val="00E431AC"/>
    <w:rsid w:val="00E43B41"/>
    <w:rsid w:val="00E44862"/>
    <w:rsid w:val="00E46FFB"/>
    <w:rsid w:val="00E47103"/>
    <w:rsid w:val="00E50FE6"/>
    <w:rsid w:val="00E51BC5"/>
    <w:rsid w:val="00E51CB8"/>
    <w:rsid w:val="00E525C5"/>
    <w:rsid w:val="00E54863"/>
    <w:rsid w:val="00E55B05"/>
    <w:rsid w:val="00E576CE"/>
    <w:rsid w:val="00E60E3C"/>
    <w:rsid w:val="00E62CAC"/>
    <w:rsid w:val="00E643CC"/>
    <w:rsid w:val="00E65869"/>
    <w:rsid w:val="00E65BE7"/>
    <w:rsid w:val="00E65D88"/>
    <w:rsid w:val="00E66022"/>
    <w:rsid w:val="00E67A1F"/>
    <w:rsid w:val="00E70C14"/>
    <w:rsid w:val="00E716C6"/>
    <w:rsid w:val="00E7278F"/>
    <w:rsid w:val="00E732AF"/>
    <w:rsid w:val="00E738C4"/>
    <w:rsid w:val="00E7559D"/>
    <w:rsid w:val="00E75C5B"/>
    <w:rsid w:val="00E75C92"/>
    <w:rsid w:val="00E766FE"/>
    <w:rsid w:val="00E824A2"/>
    <w:rsid w:val="00E83C7A"/>
    <w:rsid w:val="00E841B8"/>
    <w:rsid w:val="00E84F64"/>
    <w:rsid w:val="00E90D4D"/>
    <w:rsid w:val="00E919EA"/>
    <w:rsid w:val="00E93630"/>
    <w:rsid w:val="00E97214"/>
    <w:rsid w:val="00EA191A"/>
    <w:rsid w:val="00EA1D84"/>
    <w:rsid w:val="00EA5A68"/>
    <w:rsid w:val="00EA5FFF"/>
    <w:rsid w:val="00EA61A4"/>
    <w:rsid w:val="00EA6967"/>
    <w:rsid w:val="00EA6BF5"/>
    <w:rsid w:val="00EA712A"/>
    <w:rsid w:val="00EB0412"/>
    <w:rsid w:val="00EB0C68"/>
    <w:rsid w:val="00EB0D07"/>
    <w:rsid w:val="00EB22F8"/>
    <w:rsid w:val="00EB2440"/>
    <w:rsid w:val="00EB5313"/>
    <w:rsid w:val="00EB575E"/>
    <w:rsid w:val="00EB604E"/>
    <w:rsid w:val="00EC0534"/>
    <w:rsid w:val="00EC5E68"/>
    <w:rsid w:val="00ED02A9"/>
    <w:rsid w:val="00ED1DC1"/>
    <w:rsid w:val="00ED29F8"/>
    <w:rsid w:val="00ED2D3F"/>
    <w:rsid w:val="00ED39B0"/>
    <w:rsid w:val="00ED4FA2"/>
    <w:rsid w:val="00ED61FB"/>
    <w:rsid w:val="00ED6630"/>
    <w:rsid w:val="00ED6B96"/>
    <w:rsid w:val="00EE00AE"/>
    <w:rsid w:val="00EE10CC"/>
    <w:rsid w:val="00EE14E3"/>
    <w:rsid w:val="00EE226A"/>
    <w:rsid w:val="00EE29EB"/>
    <w:rsid w:val="00EE31CD"/>
    <w:rsid w:val="00EE49DE"/>
    <w:rsid w:val="00EE6004"/>
    <w:rsid w:val="00EE6329"/>
    <w:rsid w:val="00EE662E"/>
    <w:rsid w:val="00EF2389"/>
    <w:rsid w:val="00EF5A71"/>
    <w:rsid w:val="00EF5AAC"/>
    <w:rsid w:val="00EF6BE5"/>
    <w:rsid w:val="00EF748D"/>
    <w:rsid w:val="00EF7925"/>
    <w:rsid w:val="00F00663"/>
    <w:rsid w:val="00F02819"/>
    <w:rsid w:val="00F0402F"/>
    <w:rsid w:val="00F04DE6"/>
    <w:rsid w:val="00F07894"/>
    <w:rsid w:val="00F07939"/>
    <w:rsid w:val="00F07AF2"/>
    <w:rsid w:val="00F13FFA"/>
    <w:rsid w:val="00F153F3"/>
    <w:rsid w:val="00F15A69"/>
    <w:rsid w:val="00F16A12"/>
    <w:rsid w:val="00F21E6E"/>
    <w:rsid w:val="00F227CE"/>
    <w:rsid w:val="00F22852"/>
    <w:rsid w:val="00F258C2"/>
    <w:rsid w:val="00F26A90"/>
    <w:rsid w:val="00F27AE6"/>
    <w:rsid w:val="00F357A5"/>
    <w:rsid w:val="00F359E6"/>
    <w:rsid w:val="00F41E4D"/>
    <w:rsid w:val="00F4392E"/>
    <w:rsid w:val="00F43B2D"/>
    <w:rsid w:val="00F43BC9"/>
    <w:rsid w:val="00F4420E"/>
    <w:rsid w:val="00F5189B"/>
    <w:rsid w:val="00F52886"/>
    <w:rsid w:val="00F52BE6"/>
    <w:rsid w:val="00F52EE8"/>
    <w:rsid w:val="00F53F2D"/>
    <w:rsid w:val="00F55258"/>
    <w:rsid w:val="00F554CD"/>
    <w:rsid w:val="00F56CAF"/>
    <w:rsid w:val="00F56F4A"/>
    <w:rsid w:val="00F60584"/>
    <w:rsid w:val="00F60AFE"/>
    <w:rsid w:val="00F6141D"/>
    <w:rsid w:val="00F615A8"/>
    <w:rsid w:val="00F63225"/>
    <w:rsid w:val="00F63801"/>
    <w:rsid w:val="00F66C6F"/>
    <w:rsid w:val="00F673D1"/>
    <w:rsid w:val="00F7070B"/>
    <w:rsid w:val="00F70EB5"/>
    <w:rsid w:val="00F712B9"/>
    <w:rsid w:val="00F73A5A"/>
    <w:rsid w:val="00F73FFD"/>
    <w:rsid w:val="00F759AB"/>
    <w:rsid w:val="00F774E7"/>
    <w:rsid w:val="00F81620"/>
    <w:rsid w:val="00F8229F"/>
    <w:rsid w:val="00F855BF"/>
    <w:rsid w:val="00F901FB"/>
    <w:rsid w:val="00F916DA"/>
    <w:rsid w:val="00F94B27"/>
    <w:rsid w:val="00F954AD"/>
    <w:rsid w:val="00FA015D"/>
    <w:rsid w:val="00FA04F7"/>
    <w:rsid w:val="00FA0B97"/>
    <w:rsid w:val="00FA2D9D"/>
    <w:rsid w:val="00FA44D3"/>
    <w:rsid w:val="00FA53D5"/>
    <w:rsid w:val="00FA58F0"/>
    <w:rsid w:val="00FA6D91"/>
    <w:rsid w:val="00FB0903"/>
    <w:rsid w:val="00FB1399"/>
    <w:rsid w:val="00FB2799"/>
    <w:rsid w:val="00FB306D"/>
    <w:rsid w:val="00FB3B03"/>
    <w:rsid w:val="00FB5053"/>
    <w:rsid w:val="00FB5B07"/>
    <w:rsid w:val="00FB5E6B"/>
    <w:rsid w:val="00FB72B1"/>
    <w:rsid w:val="00FB76E4"/>
    <w:rsid w:val="00FB79D2"/>
    <w:rsid w:val="00FC289B"/>
    <w:rsid w:val="00FC2A7A"/>
    <w:rsid w:val="00FC493E"/>
    <w:rsid w:val="00FC4FF4"/>
    <w:rsid w:val="00FC514D"/>
    <w:rsid w:val="00FC56EA"/>
    <w:rsid w:val="00FC660F"/>
    <w:rsid w:val="00FC7EE3"/>
    <w:rsid w:val="00FD0905"/>
    <w:rsid w:val="00FD0ED2"/>
    <w:rsid w:val="00FD198D"/>
    <w:rsid w:val="00FD1C3B"/>
    <w:rsid w:val="00FD206E"/>
    <w:rsid w:val="00FD501A"/>
    <w:rsid w:val="00FD668E"/>
    <w:rsid w:val="00FD6FEC"/>
    <w:rsid w:val="00FE2E4F"/>
    <w:rsid w:val="00FF0418"/>
    <w:rsid w:val="00FF1AED"/>
    <w:rsid w:val="00FF382E"/>
    <w:rsid w:val="00FF532C"/>
    <w:rsid w:val="00FF5FE0"/>
    <w:rsid w:val="00FF62CA"/>
    <w:rsid w:val="00FF675C"/>
    <w:rsid w:val="00FF6B60"/>
    <w:rsid w:val="00FF7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1D"/>
    <w:pPr>
      <w:spacing w:after="200" w:line="276" w:lineRule="auto"/>
    </w:pPr>
    <w:rPr>
      <w:rFonts w:eastAsia="Calibri" w:cs="Times New Roman"/>
    </w:rPr>
  </w:style>
  <w:style w:type="paragraph" w:styleId="Heading1">
    <w:name w:val="heading 1"/>
    <w:basedOn w:val="Normal"/>
    <w:next w:val="Normal"/>
    <w:link w:val="Heading1Char"/>
    <w:uiPriority w:val="9"/>
    <w:qFormat/>
    <w:rsid w:val="00542CEB"/>
    <w:pPr>
      <w:keepNext/>
      <w:keepLines/>
      <w:spacing w:before="240" w:after="0"/>
      <w:outlineLvl w:val="0"/>
    </w:pPr>
    <w:rPr>
      <w:rFonts w:eastAsiaTheme="majorEastAsia" w:cstheme="majorBidi"/>
      <w:b/>
      <w:caps/>
      <w:sz w:val="28"/>
      <w:szCs w:val="32"/>
    </w:rPr>
  </w:style>
  <w:style w:type="paragraph" w:styleId="Heading2">
    <w:name w:val="heading 2"/>
    <w:aliases w:val="Nodaļām"/>
    <w:basedOn w:val="Normal"/>
    <w:next w:val="Normal"/>
    <w:link w:val="Heading2Char"/>
    <w:uiPriority w:val="9"/>
    <w:unhideWhenUsed/>
    <w:qFormat/>
    <w:rsid w:val="00F52EE8"/>
    <w:pPr>
      <w:keepNext/>
      <w:keepLines/>
      <w:numPr>
        <w:numId w:val="3"/>
      </w:numPr>
      <w:spacing w:before="40" w:after="0"/>
      <w:jc w:val="center"/>
      <w:outlineLvl w:val="1"/>
    </w:pPr>
    <w:rPr>
      <w:rFonts w:eastAsiaTheme="majorEastAsia" w:cstheme="majorBidi"/>
      <w:b/>
      <w:caps/>
      <w:sz w:val="28"/>
      <w:szCs w:val="26"/>
    </w:rPr>
  </w:style>
  <w:style w:type="paragraph" w:styleId="Heading3">
    <w:name w:val="heading 3"/>
    <w:aliases w:val="Apakšnodaļām"/>
    <w:basedOn w:val="Normal"/>
    <w:next w:val="Normal"/>
    <w:link w:val="Heading3Char"/>
    <w:uiPriority w:val="9"/>
    <w:unhideWhenUsed/>
    <w:qFormat/>
    <w:rsid w:val="00B87AF6"/>
    <w:pPr>
      <w:keepNext/>
      <w:keepLines/>
      <w:spacing w:before="40" w:after="0"/>
      <w:jc w:val="center"/>
      <w:outlineLvl w:val="2"/>
    </w:pPr>
    <w:rPr>
      <w:rFonts w:eastAsiaTheme="majorEastAsia" w:cstheme="majorBidi"/>
      <w:b/>
      <w:caps/>
      <w:szCs w:val="24"/>
    </w:rPr>
  </w:style>
  <w:style w:type="paragraph" w:styleId="Heading4">
    <w:name w:val="heading 4"/>
    <w:aliases w:val="Mazie"/>
    <w:basedOn w:val="Normal"/>
    <w:next w:val="Normal"/>
    <w:link w:val="Heading4Char"/>
    <w:autoRedefine/>
    <w:uiPriority w:val="9"/>
    <w:unhideWhenUsed/>
    <w:rsid w:val="003626F4"/>
    <w:pPr>
      <w:keepNext/>
      <w:keepLines/>
      <w:spacing w:before="40" w:after="0"/>
      <w:ind w:left="566"/>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46FF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46FF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46FF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46FF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FF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B575E"/>
    <w:pPr>
      <w:spacing w:after="0" w:line="240" w:lineRule="auto"/>
    </w:pPr>
    <w:rPr>
      <w:sz w:val="20"/>
      <w:szCs w:val="20"/>
    </w:rPr>
  </w:style>
  <w:style w:type="character" w:customStyle="1" w:styleId="FootnoteTextChar">
    <w:name w:val="Footnote Text Char"/>
    <w:basedOn w:val="DefaultParagraphFont"/>
    <w:link w:val="FootnoteText"/>
    <w:rsid w:val="00EB575E"/>
    <w:rPr>
      <w:rFonts w:eastAsia="Calibri" w:cs="Times New Roman"/>
      <w:sz w:val="20"/>
      <w:szCs w:val="20"/>
    </w:rPr>
  </w:style>
  <w:style w:type="character" w:styleId="FootnoteReference">
    <w:name w:val="footnote reference"/>
    <w:uiPriority w:val="99"/>
    <w:semiHidden/>
    <w:unhideWhenUsed/>
    <w:rsid w:val="00EB575E"/>
    <w:rPr>
      <w:vertAlign w:val="superscript"/>
    </w:rPr>
  </w:style>
  <w:style w:type="paragraph" w:styleId="ListParagraph">
    <w:name w:val="List Paragraph"/>
    <w:basedOn w:val="Normal"/>
    <w:uiPriority w:val="34"/>
    <w:qFormat/>
    <w:rsid w:val="00EB575E"/>
    <w:pPr>
      <w:ind w:left="720"/>
      <w:contextualSpacing/>
    </w:pPr>
  </w:style>
  <w:style w:type="paragraph" w:customStyle="1" w:styleId="naisf">
    <w:name w:val="naisf"/>
    <w:basedOn w:val="Normal"/>
    <w:link w:val="naisfChar"/>
    <w:rsid w:val="00EB575E"/>
    <w:pPr>
      <w:spacing w:before="100" w:beforeAutospacing="1" w:after="100" w:afterAutospacing="1" w:line="240" w:lineRule="auto"/>
      <w:jc w:val="both"/>
    </w:pPr>
    <w:rPr>
      <w:rFonts w:eastAsia="Arial Unicode MS"/>
      <w:szCs w:val="24"/>
      <w:lang w:val="en-GB"/>
    </w:rPr>
  </w:style>
  <w:style w:type="character" w:customStyle="1" w:styleId="naisfChar">
    <w:name w:val="naisf Char"/>
    <w:link w:val="naisf"/>
    <w:rsid w:val="00EB575E"/>
    <w:rPr>
      <w:rFonts w:eastAsia="Arial Unicode MS" w:cs="Times New Roman"/>
      <w:szCs w:val="24"/>
      <w:lang w:val="en-GB"/>
    </w:rPr>
  </w:style>
  <w:style w:type="paragraph" w:customStyle="1" w:styleId="c01pointnumerotealtn">
    <w:name w:val="c01pointnumerotealtn"/>
    <w:basedOn w:val="Normal"/>
    <w:rsid w:val="00EB575E"/>
    <w:pPr>
      <w:spacing w:before="100" w:beforeAutospacing="1" w:after="100" w:afterAutospacing="1" w:line="240" w:lineRule="auto"/>
    </w:pPr>
    <w:rPr>
      <w:rFonts w:eastAsia="Times New Roman"/>
      <w:szCs w:val="24"/>
      <w:lang w:eastAsia="lv-LV"/>
    </w:rPr>
  </w:style>
  <w:style w:type="paragraph" w:customStyle="1" w:styleId="c02alineaalta">
    <w:name w:val="c02alineaalta"/>
    <w:basedOn w:val="Normal"/>
    <w:rsid w:val="00EB575E"/>
    <w:pPr>
      <w:spacing w:before="100" w:beforeAutospacing="1" w:after="100" w:afterAutospacing="1" w:line="240" w:lineRule="auto"/>
    </w:pPr>
    <w:rPr>
      <w:rFonts w:eastAsia="Times New Roman"/>
      <w:szCs w:val="24"/>
      <w:lang w:eastAsia="lv-LV"/>
    </w:rPr>
  </w:style>
  <w:style w:type="paragraph" w:customStyle="1" w:styleId="tv213">
    <w:name w:val="tv213"/>
    <w:basedOn w:val="Normal"/>
    <w:rsid w:val="00F8229F"/>
    <w:pPr>
      <w:spacing w:before="100" w:beforeAutospacing="1" w:after="100" w:afterAutospacing="1" w:line="240" w:lineRule="auto"/>
    </w:pPr>
    <w:rPr>
      <w:rFonts w:eastAsia="Times New Roman"/>
      <w:szCs w:val="24"/>
      <w:lang w:eastAsia="lv-LV"/>
    </w:rPr>
  </w:style>
  <w:style w:type="paragraph" w:customStyle="1" w:styleId="s73alineacentregras">
    <w:name w:val="s73alineacentregras"/>
    <w:basedOn w:val="Normal"/>
    <w:rsid w:val="006D7653"/>
    <w:pPr>
      <w:spacing w:before="100" w:beforeAutospacing="1" w:after="100" w:afterAutospacing="1" w:line="240" w:lineRule="auto"/>
    </w:pPr>
    <w:rPr>
      <w:rFonts w:eastAsia="Times New Roman"/>
      <w:szCs w:val="24"/>
      <w:lang w:eastAsia="lv-LV"/>
    </w:rPr>
  </w:style>
  <w:style w:type="character" w:customStyle="1" w:styleId="affairetitle">
    <w:name w:val="affaire_title"/>
    <w:basedOn w:val="DefaultParagraphFont"/>
    <w:rsid w:val="00A77AF1"/>
  </w:style>
  <w:style w:type="character" w:styleId="Strong">
    <w:name w:val="Strong"/>
    <w:uiPriority w:val="22"/>
    <w:qFormat/>
    <w:rsid w:val="00A77AF1"/>
    <w:rPr>
      <w:b/>
      <w:bCs/>
    </w:rPr>
  </w:style>
  <w:style w:type="paragraph" w:customStyle="1" w:styleId="c01pointaltn">
    <w:name w:val="c01pointaltn"/>
    <w:basedOn w:val="Normal"/>
    <w:uiPriority w:val="99"/>
    <w:rsid w:val="00A77AF1"/>
    <w:pPr>
      <w:spacing w:before="100" w:beforeAutospacing="1" w:after="100" w:afterAutospacing="1" w:line="240" w:lineRule="auto"/>
    </w:pPr>
    <w:rPr>
      <w:rFonts w:eastAsia="Times New Roman"/>
      <w:szCs w:val="24"/>
      <w:lang w:eastAsia="lv-LV"/>
    </w:rPr>
  </w:style>
  <w:style w:type="paragraph" w:customStyle="1" w:styleId="tv213limenis2">
    <w:name w:val="tv213 limenis2"/>
    <w:basedOn w:val="Normal"/>
    <w:rsid w:val="00AD49F5"/>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881E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E28"/>
    <w:rPr>
      <w:rFonts w:eastAsia="Calibri" w:cs="Times New Roman"/>
    </w:rPr>
  </w:style>
  <w:style w:type="paragraph" w:styleId="Footer">
    <w:name w:val="footer"/>
    <w:basedOn w:val="Normal"/>
    <w:link w:val="FooterChar"/>
    <w:uiPriority w:val="99"/>
    <w:unhideWhenUsed/>
    <w:rsid w:val="00881E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E28"/>
    <w:rPr>
      <w:rFonts w:eastAsia="Calibri" w:cs="Times New Roman"/>
    </w:rPr>
  </w:style>
  <w:style w:type="character" w:customStyle="1" w:styleId="Heading1Char">
    <w:name w:val="Heading 1 Char"/>
    <w:basedOn w:val="DefaultParagraphFont"/>
    <w:link w:val="Heading1"/>
    <w:uiPriority w:val="9"/>
    <w:rsid w:val="00542CEB"/>
    <w:rPr>
      <w:rFonts w:eastAsiaTheme="majorEastAsia" w:cstheme="majorBidi"/>
      <w:b/>
      <w:caps/>
      <w:sz w:val="28"/>
      <w:szCs w:val="32"/>
    </w:rPr>
  </w:style>
  <w:style w:type="character" w:customStyle="1" w:styleId="Heading2Char">
    <w:name w:val="Heading 2 Char"/>
    <w:aliases w:val="Nodaļām Char"/>
    <w:basedOn w:val="DefaultParagraphFont"/>
    <w:link w:val="Heading2"/>
    <w:uiPriority w:val="9"/>
    <w:rsid w:val="00542CEB"/>
    <w:rPr>
      <w:rFonts w:eastAsiaTheme="majorEastAsia" w:cstheme="majorBidi"/>
      <w:b/>
      <w:caps/>
      <w:sz w:val="28"/>
      <w:szCs w:val="26"/>
    </w:rPr>
  </w:style>
  <w:style w:type="character" w:customStyle="1" w:styleId="Heading3Char">
    <w:name w:val="Heading 3 Char"/>
    <w:aliases w:val="Apakšnodaļām Char"/>
    <w:basedOn w:val="DefaultParagraphFont"/>
    <w:link w:val="Heading3"/>
    <w:uiPriority w:val="9"/>
    <w:rsid w:val="00542CEB"/>
    <w:rPr>
      <w:rFonts w:eastAsiaTheme="majorEastAsia" w:cstheme="majorBidi"/>
      <w:b/>
      <w:caps/>
      <w:szCs w:val="24"/>
    </w:rPr>
  </w:style>
  <w:style w:type="paragraph" w:styleId="BalloonText">
    <w:name w:val="Balloon Text"/>
    <w:basedOn w:val="Normal"/>
    <w:link w:val="BalloonTextChar"/>
    <w:uiPriority w:val="99"/>
    <w:semiHidden/>
    <w:unhideWhenUsed/>
    <w:rsid w:val="003F3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95"/>
    <w:rPr>
      <w:rFonts w:ascii="Segoe UI" w:eastAsia="Calibri" w:hAnsi="Segoe UI" w:cs="Segoe UI"/>
      <w:sz w:val="18"/>
      <w:szCs w:val="18"/>
    </w:rPr>
  </w:style>
  <w:style w:type="character" w:customStyle="1" w:styleId="Heading4Char">
    <w:name w:val="Heading 4 Char"/>
    <w:aliases w:val="Mazie Char"/>
    <w:basedOn w:val="DefaultParagraphFont"/>
    <w:link w:val="Heading4"/>
    <w:uiPriority w:val="9"/>
    <w:rsid w:val="003626F4"/>
    <w:rPr>
      <w:rFonts w:eastAsiaTheme="majorEastAsia" w:cstheme="majorBidi"/>
      <w:b/>
      <w:iCs/>
    </w:rPr>
  </w:style>
  <w:style w:type="character" w:customStyle="1" w:styleId="Heading5Char">
    <w:name w:val="Heading 5 Char"/>
    <w:basedOn w:val="DefaultParagraphFont"/>
    <w:link w:val="Heading5"/>
    <w:uiPriority w:val="9"/>
    <w:semiHidden/>
    <w:rsid w:val="00146F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46F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46F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46F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FF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81A21"/>
    <w:pPr>
      <w:spacing w:line="259" w:lineRule="auto"/>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autoRedefine/>
    <w:uiPriority w:val="39"/>
    <w:unhideWhenUsed/>
    <w:rsid w:val="00A81A21"/>
    <w:pPr>
      <w:spacing w:after="100"/>
    </w:pPr>
  </w:style>
  <w:style w:type="paragraph" w:styleId="TOC2">
    <w:name w:val="toc 2"/>
    <w:basedOn w:val="Normal"/>
    <w:next w:val="Normal"/>
    <w:autoRedefine/>
    <w:uiPriority w:val="39"/>
    <w:unhideWhenUsed/>
    <w:rsid w:val="00876957"/>
    <w:pPr>
      <w:tabs>
        <w:tab w:val="left" w:pos="720"/>
        <w:tab w:val="right" w:leader="dot" w:pos="9061"/>
      </w:tabs>
      <w:spacing w:after="100"/>
      <w:ind w:left="240"/>
    </w:pPr>
    <w:rPr>
      <w:b/>
      <w:noProof/>
    </w:rPr>
  </w:style>
  <w:style w:type="paragraph" w:styleId="TOC3">
    <w:name w:val="toc 3"/>
    <w:basedOn w:val="Normal"/>
    <w:next w:val="Normal"/>
    <w:autoRedefine/>
    <w:uiPriority w:val="39"/>
    <w:unhideWhenUsed/>
    <w:rsid w:val="00A81A21"/>
    <w:pPr>
      <w:spacing w:after="100"/>
      <w:ind w:left="480"/>
    </w:pPr>
  </w:style>
  <w:style w:type="character" w:styleId="Hyperlink">
    <w:name w:val="Hyperlink"/>
    <w:basedOn w:val="DefaultParagraphFont"/>
    <w:uiPriority w:val="99"/>
    <w:unhideWhenUsed/>
    <w:rsid w:val="00A81A21"/>
    <w:rPr>
      <w:color w:val="0563C1" w:themeColor="hyperlink"/>
      <w:u w:val="single"/>
    </w:rPr>
  </w:style>
  <w:style w:type="paragraph" w:styleId="TOC4">
    <w:name w:val="toc 4"/>
    <w:basedOn w:val="NoSpacing"/>
    <w:next w:val="Heading3"/>
    <w:autoRedefine/>
    <w:uiPriority w:val="39"/>
    <w:unhideWhenUsed/>
    <w:rsid w:val="00A1588C"/>
    <w:pPr>
      <w:spacing w:after="100"/>
      <w:ind w:left="720"/>
    </w:pPr>
  </w:style>
  <w:style w:type="paragraph" w:styleId="NoSpacing">
    <w:name w:val="No Spacing"/>
    <w:uiPriority w:val="1"/>
    <w:qFormat/>
    <w:rsid w:val="00142A23"/>
    <w:pPr>
      <w:spacing w:after="0" w:line="240" w:lineRule="auto"/>
    </w:pPr>
    <w:rPr>
      <w:rFonts w:eastAsia="Calibri" w:cs="Times New Roman"/>
    </w:rPr>
  </w:style>
  <w:style w:type="character" w:styleId="CommentReference">
    <w:name w:val="annotation reference"/>
    <w:basedOn w:val="DefaultParagraphFont"/>
    <w:uiPriority w:val="99"/>
    <w:semiHidden/>
    <w:unhideWhenUsed/>
    <w:rsid w:val="001757A0"/>
    <w:rPr>
      <w:sz w:val="16"/>
      <w:szCs w:val="16"/>
    </w:rPr>
  </w:style>
  <w:style w:type="paragraph" w:styleId="CommentText">
    <w:name w:val="annotation text"/>
    <w:basedOn w:val="Normal"/>
    <w:link w:val="CommentTextChar"/>
    <w:uiPriority w:val="99"/>
    <w:semiHidden/>
    <w:unhideWhenUsed/>
    <w:rsid w:val="001757A0"/>
    <w:pPr>
      <w:spacing w:line="240" w:lineRule="auto"/>
    </w:pPr>
    <w:rPr>
      <w:sz w:val="20"/>
      <w:szCs w:val="20"/>
    </w:rPr>
  </w:style>
  <w:style w:type="character" w:customStyle="1" w:styleId="CommentTextChar">
    <w:name w:val="Comment Text Char"/>
    <w:basedOn w:val="DefaultParagraphFont"/>
    <w:link w:val="CommentText"/>
    <w:uiPriority w:val="99"/>
    <w:semiHidden/>
    <w:rsid w:val="001757A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757A0"/>
    <w:rPr>
      <w:b/>
      <w:bCs/>
    </w:rPr>
  </w:style>
  <w:style w:type="character" w:customStyle="1" w:styleId="CommentSubjectChar">
    <w:name w:val="Comment Subject Char"/>
    <w:basedOn w:val="CommentTextChar"/>
    <w:link w:val="CommentSubject"/>
    <w:uiPriority w:val="99"/>
    <w:semiHidden/>
    <w:rsid w:val="001757A0"/>
    <w:rPr>
      <w:rFonts w:eastAsia="Calibri" w:cs="Times New Roman"/>
      <w:b/>
      <w:bCs/>
      <w:sz w:val="20"/>
      <w:szCs w:val="20"/>
    </w:rPr>
  </w:style>
  <w:style w:type="paragraph" w:styleId="Revision">
    <w:name w:val="Revision"/>
    <w:hidden/>
    <w:uiPriority w:val="99"/>
    <w:semiHidden/>
    <w:rsid w:val="00B529BD"/>
    <w:pPr>
      <w:spacing w:after="0" w:line="240" w:lineRule="auto"/>
    </w:pPr>
    <w:rPr>
      <w:rFonts w:eastAsia="Calibri" w:cs="Times New Roman"/>
    </w:rPr>
  </w:style>
  <w:style w:type="table" w:styleId="TableGrid">
    <w:name w:val="Table Grid"/>
    <w:basedOn w:val="TableNormal"/>
    <w:uiPriority w:val="39"/>
    <w:rsid w:val="00A5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2099C"/>
    <w:pPr>
      <w:spacing w:before="100" w:beforeAutospacing="1" w:after="100" w:afterAutospacing="1" w:line="240" w:lineRule="auto"/>
    </w:pPr>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1D"/>
    <w:pPr>
      <w:spacing w:after="200" w:line="276" w:lineRule="auto"/>
    </w:pPr>
    <w:rPr>
      <w:rFonts w:eastAsia="Calibri" w:cs="Times New Roman"/>
    </w:rPr>
  </w:style>
  <w:style w:type="paragraph" w:styleId="Heading1">
    <w:name w:val="heading 1"/>
    <w:basedOn w:val="Normal"/>
    <w:next w:val="Normal"/>
    <w:link w:val="Heading1Char"/>
    <w:uiPriority w:val="9"/>
    <w:qFormat/>
    <w:rsid w:val="00542CEB"/>
    <w:pPr>
      <w:keepNext/>
      <w:keepLines/>
      <w:spacing w:before="240" w:after="0"/>
      <w:outlineLvl w:val="0"/>
    </w:pPr>
    <w:rPr>
      <w:rFonts w:eastAsiaTheme="majorEastAsia" w:cstheme="majorBidi"/>
      <w:b/>
      <w:caps/>
      <w:sz w:val="28"/>
      <w:szCs w:val="32"/>
    </w:rPr>
  </w:style>
  <w:style w:type="paragraph" w:styleId="Heading2">
    <w:name w:val="heading 2"/>
    <w:aliases w:val="Nodaļām"/>
    <w:basedOn w:val="Normal"/>
    <w:next w:val="Normal"/>
    <w:link w:val="Heading2Char"/>
    <w:uiPriority w:val="9"/>
    <w:unhideWhenUsed/>
    <w:qFormat/>
    <w:rsid w:val="00F52EE8"/>
    <w:pPr>
      <w:keepNext/>
      <w:keepLines/>
      <w:numPr>
        <w:numId w:val="3"/>
      </w:numPr>
      <w:spacing w:before="40" w:after="0"/>
      <w:jc w:val="center"/>
      <w:outlineLvl w:val="1"/>
    </w:pPr>
    <w:rPr>
      <w:rFonts w:eastAsiaTheme="majorEastAsia" w:cstheme="majorBidi"/>
      <w:b/>
      <w:caps/>
      <w:sz w:val="28"/>
      <w:szCs w:val="26"/>
    </w:rPr>
  </w:style>
  <w:style w:type="paragraph" w:styleId="Heading3">
    <w:name w:val="heading 3"/>
    <w:aliases w:val="Apakšnodaļām"/>
    <w:basedOn w:val="Normal"/>
    <w:next w:val="Normal"/>
    <w:link w:val="Heading3Char"/>
    <w:uiPriority w:val="9"/>
    <w:unhideWhenUsed/>
    <w:qFormat/>
    <w:rsid w:val="00B87AF6"/>
    <w:pPr>
      <w:keepNext/>
      <w:keepLines/>
      <w:spacing w:before="40" w:after="0"/>
      <w:jc w:val="center"/>
      <w:outlineLvl w:val="2"/>
    </w:pPr>
    <w:rPr>
      <w:rFonts w:eastAsiaTheme="majorEastAsia" w:cstheme="majorBidi"/>
      <w:b/>
      <w:caps/>
      <w:szCs w:val="24"/>
    </w:rPr>
  </w:style>
  <w:style w:type="paragraph" w:styleId="Heading4">
    <w:name w:val="heading 4"/>
    <w:aliases w:val="Mazie"/>
    <w:basedOn w:val="Normal"/>
    <w:next w:val="Normal"/>
    <w:link w:val="Heading4Char"/>
    <w:autoRedefine/>
    <w:uiPriority w:val="9"/>
    <w:unhideWhenUsed/>
    <w:rsid w:val="003626F4"/>
    <w:pPr>
      <w:keepNext/>
      <w:keepLines/>
      <w:spacing w:before="40" w:after="0"/>
      <w:ind w:left="566"/>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46FF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46FF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46FF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46FF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FF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B575E"/>
    <w:pPr>
      <w:spacing w:after="0" w:line="240" w:lineRule="auto"/>
    </w:pPr>
    <w:rPr>
      <w:sz w:val="20"/>
      <w:szCs w:val="20"/>
    </w:rPr>
  </w:style>
  <w:style w:type="character" w:customStyle="1" w:styleId="FootnoteTextChar">
    <w:name w:val="Footnote Text Char"/>
    <w:basedOn w:val="DefaultParagraphFont"/>
    <w:link w:val="FootnoteText"/>
    <w:rsid w:val="00EB575E"/>
    <w:rPr>
      <w:rFonts w:eastAsia="Calibri" w:cs="Times New Roman"/>
      <w:sz w:val="20"/>
      <w:szCs w:val="20"/>
    </w:rPr>
  </w:style>
  <w:style w:type="character" w:styleId="FootnoteReference">
    <w:name w:val="footnote reference"/>
    <w:uiPriority w:val="99"/>
    <w:semiHidden/>
    <w:unhideWhenUsed/>
    <w:rsid w:val="00EB575E"/>
    <w:rPr>
      <w:vertAlign w:val="superscript"/>
    </w:rPr>
  </w:style>
  <w:style w:type="paragraph" w:styleId="ListParagraph">
    <w:name w:val="List Paragraph"/>
    <w:basedOn w:val="Normal"/>
    <w:uiPriority w:val="34"/>
    <w:qFormat/>
    <w:rsid w:val="00EB575E"/>
    <w:pPr>
      <w:ind w:left="720"/>
      <w:contextualSpacing/>
    </w:pPr>
  </w:style>
  <w:style w:type="paragraph" w:customStyle="1" w:styleId="naisf">
    <w:name w:val="naisf"/>
    <w:basedOn w:val="Normal"/>
    <w:link w:val="naisfChar"/>
    <w:rsid w:val="00EB575E"/>
    <w:pPr>
      <w:spacing w:before="100" w:beforeAutospacing="1" w:after="100" w:afterAutospacing="1" w:line="240" w:lineRule="auto"/>
      <w:jc w:val="both"/>
    </w:pPr>
    <w:rPr>
      <w:rFonts w:eastAsia="Arial Unicode MS"/>
      <w:szCs w:val="24"/>
      <w:lang w:val="en-GB"/>
    </w:rPr>
  </w:style>
  <w:style w:type="character" w:customStyle="1" w:styleId="naisfChar">
    <w:name w:val="naisf Char"/>
    <w:link w:val="naisf"/>
    <w:rsid w:val="00EB575E"/>
    <w:rPr>
      <w:rFonts w:eastAsia="Arial Unicode MS" w:cs="Times New Roman"/>
      <w:szCs w:val="24"/>
      <w:lang w:val="en-GB"/>
    </w:rPr>
  </w:style>
  <w:style w:type="paragraph" w:customStyle="1" w:styleId="c01pointnumerotealtn">
    <w:name w:val="c01pointnumerotealtn"/>
    <w:basedOn w:val="Normal"/>
    <w:rsid w:val="00EB575E"/>
    <w:pPr>
      <w:spacing w:before="100" w:beforeAutospacing="1" w:after="100" w:afterAutospacing="1" w:line="240" w:lineRule="auto"/>
    </w:pPr>
    <w:rPr>
      <w:rFonts w:eastAsia="Times New Roman"/>
      <w:szCs w:val="24"/>
      <w:lang w:eastAsia="lv-LV"/>
    </w:rPr>
  </w:style>
  <w:style w:type="paragraph" w:customStyle="1" w:styleId="c02alineaalta">
    <w:name w:val="c02alineaalta"/>
    <w:basedOn w:val="Normal"/>
    <w:rsid w:val="00EB575E"/>
    <w:pPr>
      <w:spacing w:before="100" w:beforeAutospacing="1" w:after="100" w:afterAutospacing="1" w:line="240" w:lineRule="auto"/>
    </w:pPr>
    <w:rPr>
      <w:rFonts w:eastAsia="Times New Roman"/>
      <w:szCs w:val="24"/>
      <w:lang w:eastAsia="lv-LV"/>
    </w:rPr>
  </w:style>
  <w:style w:type="paragraph" w:customStyle="1" w:styleId="tv213">
    <w:name w:val="tv213"/>
    <w:basedOn w:val="Normal"/>
    <w:rsid w:val="00F8229F"/>
    <w:pPr>
      <w:spacing w:before="100" w:beforeAutospacing="1" w:after="100" w:afterAutospacing="1" w:line="240" w:lineRule="auto"/>
    </w:pPr>
    <w:rPr>
      <w:rFonts w:eastAsia="Times New Roman"/>
      <w:szCs w:val="24"/>
      <w:lang w:eastAsia="lv-LV"/>
    </w:rPr>
  </w:style>
  <w:style w:type="paragraph" w:customStyle="1" w:styleId="s73alineacentregras">
    <w:name w:val="s73alineacentregras"/>
    <w:basedOn w:val="Normal"/>
    <w:rsid w:val="006D7653"/>
    <w:pPr>
      <w:spacing w:before="100" w:beforeAutospacing="1" w:after="100" w:afterAutospacing="1" w:line="240" w:lineRule="auto"/>
    </w:pPr>
    <w:rPr>
      <w:rFonts w:eastAsia="Times New Roman"/>
      <w:szCs w:val="24"/>
      <w:lang w:eastAsia="lv-LV"/>
    </w:rPr>
  </w:style>
  <w:style w:type="character" w:customStyle="1" w:styleId="affairetitle">
    <w:name w:val="affaire_title"/>
    <w:basedOn w:val="DefaultParagraphFont"/>
    <w:rsid w:val="00A77AF1"/>
  </w:style>
  <w:style w:type="character" w:styleId="Strong">
    <w:name w:val="Strong"/>
    <w:uiPriority w:val="22"/>
    <w:qFormat/>
    <w:rsid w:val="00A77AF1"/>
    <w:rPr>
      <w:b/>
      <w:bCs/>
    </w:rPr>
  </w:style>
  <w:style w:type="paragraph" w:customStyle="1" w:styleId="c01pointaltn">
    <w:name w:val="c01pointaltn"/>
    <w:basedOn w:val="Normal"/>
    <w:uiPriority w:val="99"/>
    <w:rsid w:val="00A77AF1"/>
    <w:pPr>
      <w:spacing w:before="100" w:beforeAutospacing="1" w:after="100" w:afterAutospacing="1" w:line="240" w:lineRule="auto"/>
    </w:pPr>
    <w:rPr>
      <w:rFonts w:eastAsia="Times New Roman"/>
      <w:szCs w:val="24"/>
      <w:lang w:eastAsia="lv-LV"/>
    </w:rPr>
  </w:style>
  <w:style w:type="paragraph" w:customStyle="1" w:styleId="tv213limenis2">
    <w:name w:val="tv213 limenis2"/>
    <w:basedOn w:val="Normal"/>
    <w:rsid w:val="00AD49F5"/>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881E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E28"/>
    <w:rPr>
      <w:rFonts w:eastAsia="Calibri" w:cs="Times New Roman"/>
    </w:rPr>
  </w:style>
  <w:style w:type="paragraph" w:styleId="Footer">
    <w:name w:val="footer"/>
    <w:basedOn w:val="Normal"/>
    <w:link w:val="FooterChar"/>
    <w:uiPriority w:val="99"/>
    <w:unhideWhenUsed/>
    <w:rsid w:val="00881E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E28"/>
    <w:rPr>
      <w:rFonts w:eastAsia="Calibri" w:cs="Times New Roman"/>
    </w:rPr>
  </w:style>
  <w:style w:type="character" w:customStyle="1" w:styleId="Heading1Char">
    <w:name w:val="Heading 1 Char"/>
    <w:basedOn w:val="DefaultParagraphFont"/>
    <w:link w:val="Heading1"/>
    <w:uiPriority w:val="9"/>
    <w:rsid w:val="00542CEB"/>
    <w:rPr>
      <w:rFonts w:eastAsiaTheme="majorEastAsia" w:cstheme="majorBidi"/>
      <w:b/>
      <w:caps/>
      <w:sz w:val="28"/>
      <w:szCs w:val="32"/>
    </w:rPr>
  </w:style>
  <w:style w:type="character" w:customStyle="1" w:styleId="Heading2Char">
    <w:name w:val="Heading 2 Char"/>
    <w:aliases w:val="Nodaļām Char"/>
    <w:basedOn w:val="DefaultParagraphFont"/>
    <w:link w:val="Heading2"/>
    <w:uiPriority w:val="9"/>
    <w:rsid w:val="00542CEB"/>
    <w:rPr>
      <w:rFonts w:eastAsiaTheme="majorEastAsia" w:cstheme="majorBidi"/>
      <w:b/>
      <w:caps/>
      <w:sz w:val="28"/>
      <w:szCs w:val="26"/>
    </w:rPr>
  </w:style>
  <w:style w:type="character" w:customStyle="1" w:styleId="Heading3Char">
    <w:name w:val="Heading 3 Char"/>
    <w:aliases w:val="Apakšnodaļām Char"/>
    <w:basedOn w:val="DefaultParagraphFont"/>
    <w:link w:val="Heading3"/>
    <w:uiPriority w:val="9"/>
    <w:rsid w:val="00542CEB"/>
    <w:rPr>
      <w:rFonts w:eastAsiaTheme="majorEastAsia" w:cstheme="majorBidi"/>
      <w:b/>
      <w:caps/>
      <w:szCs w:val="24"/>
    </w:rPr>
  </w:style>
  <w:style w:type="paragraph" w:styleId="BalloonText">
    <w:name w:val="Balloon Text"/>
    <w:basedOn w:val="Normal"/>
    <w:link w:val="BalloonTextChar"/>
    <w:uiPriority w:val="99"/>
    <w:semiHidden/>
    <w:unhideWhenUsed/>
    <w:rsid w:val="003F3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95"/>
    <w:rPr>
      <w:rFonts w:ascii="Segoe UI" w:eastAsia="Calibri" w:hAnsi="Segoe UI" w:cs="Segoe UI"/>
      <w:sz w:val="18"/>
      <w:szCs w:val="18"/>
    </w:rPr>
  </w:style>
  <w:style w:type="character" w:customStyle="1" w:styleId="Heading4Char">
    <w:name w:val="Heading 4 Char"/>
    <w:aliases w:val="Mazie Char"/>
    <w:basedOn w:val="DefaultParagraphFont"/>
    <w:link w:val="Heading4"/>
    <w:uiPriority w:val="9"/>
    <w:rsid w:val="003626F4"/>
    <w:rPr>
      <w:rFonts w:eastAsiaTheme="majorEastAsia" w:cstheme="majorBidi"/>
      <w:b/>
      <w:iCs/>
    </w:rPr>
  </w:style>
  <w:style w:type="character" w:customStyle="1" w:styleId="Heading5Char">
    <w:name w:val="Heading 5 Char"/>
    <w:basedOn w:val="DefaultParagraphFont"/>
    <w:link w:val="Heading5"/>
    <w:uiPriority w:val="9"/>
    <w:semiHidden/>
    <w:rsid w:val="00146F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46F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46F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46F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FF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81A21"/>
    <w:pPr>
      <w:spacing w:line="259" w:lineRule="auto"/>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autoRedefine/>
    <w:uiPriority w:val="39"/>
    <w:unhideWhenUsed/>
    <w:rsid w:val="00A81A21"/>
    <w:pPr>
      <w:spacing w:after="100"/>
    </w:pPr>
  </w:style>
  <w:style w:type="paragraph" w:styleId="TOC2">
    <w:name w:val="toc 2"/>
    <w:basedOn w:val="Normal"/>
    <w:next w:val="Normal"/>
    <w:autoRedefine/>
    <w:uiPriority w:val="39"/>
    <w:unhideWhenUsed/>
    <w:rsid w:val="00876957"/>
    <w:pPr>
      <w:tabs>
        <w:tab w:val="left" w:pos="720"/>
        <w:tab w:val="right" w:leader="dot" w:pos="9061"/>
      </w:tabs>
      <w:spacing w:after="100"/>
      <w:ind w:left="240"/>
    </w:pPr>
    <w:rPr>
      <w:b/>
      <w:noProof/>
    </w:rPr>
  </w:style>
  <w:style w:type="paragraph" w:styleId="TOC3">
    <w:name w:val="toc 3"/>
    <w:basedOn w:val="Normal"/>
    <w:next w:val="Normal"/>
    <w:autoRedefine/>
    <w:uiPriority w:val="39"/>
    <w:unhideWhenUsed/>
    <w:rsid w:val="00A81A21"/>
    <w:pPr>
      <w:spacing w:after="100"/>
      <w:ind w:left="480"/>
    </w:pPr>
  </w:style>
  <w:style w:type="character" w:styleId="Hyperlink">
    <w:name w:val="Hyperlink"/>
    <w:basedOn w:val="DefaultParagraphFont"/>
    <w:uiPriority w:val="99"/>
    <w:unhideWhenUsed/>
    <w:rsid w:val="00A81A21"/>
    <w:rPr>
      <w:color w:val="0563C1" w:themeColor="hyperlink"/>
      <w:u w:val="single"/>
    </w:rPr>
  </w:style>
  <w:style w:type="paragraph" w:styleId="TOC4">
    <w:name w:val="toc 4"/>
    <w:basedOn w:val="NoSpacing"/>
    <w:next w:val="Heading3"/>
    <w:autoRedefine/>
    <w:uiPriority w:val="39"/>
    <w:unhideWhenUsed/>
    <w:rsid w:val="00A1588C"/>
    <w:pPr>
      <w:spacing w:after="100"/>
      <w:ind w:left="720"/>
    </w:pPr>
  </w:style>
  <w:style w:type="paragraph" w:styleId="NoSpacing">
    <w:name w:val="No Spacing"/>
    <w:uiPriority w:val="1"/>
    <w:qFormat/>
    <w:rsid w:val="00142A23"/>
    <w:pPr>
      <w:spacing w:after="0" w:line="240" w:lineRule="auto"/>
    </w:pPr>
    <w:rPr>
      <w:rFonts w:eastAsia="Calibri" w:cs="Times New Roman"/>
    </w:rPr>
  </w:style>
  <w:style w:type="character" w:styleId="CommentReference">
    <w:name w:val="annotation reference"/>
    <w:basedOn w:val="DefaultParagraphFont"/>
    <w:uiPriority w:val="99"/>
    <w:semiHidden/>
    <w:unhideWhenUsed/>
    <w:rsid w:val="001757A0"/>
    <w:rPr>
      <w:sz w:val="16"/>
      <w:szCs w:val="16"/>
    </w:rPr>
  </w:style>
  <w:style w:type="paragraph" w:styleId="CommentText">
    <w:name w:val="annotation text"/>
    <w:basedOn w:val="Normal"/>
    <w:link w:val="CommentTextChar"/>
    <w:uiPriority w:val="99"/>
    <w:semiHidden/>
    <w:unhideWhenUsed/>
    <w:rsid w:val="001757A0"/>
    <w:pPr>
      <w:spacing w:line="240" w:lineRule="auto"/>
    </w:pPr>
    <w:rPr>
      <w:sz w:val="20"/>
      <w:szCs w:val="20"/>
    </w:rPr>
  </w:style>
  <w:style w:type="character" w:customStyle="1" w:styleId="CommentTextChar">
    <w:name w:val="Comment Text Char"/>
    <w:basedOn w:val="DefaultParagraphFont"/>
    <w:link w:val="CommentText"/>
    <w:uiPriority w:val="99"/>
    <w:semiHidden/>
    <w:rsid w:val="001757A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757A0"/>
    <w:rPr>
      <w:b/>
      <w:bCs/>
    </w:rPr>
  </w:style>
  <w:style w:type="character" w:customStyle="1" w:styleId="CommentSubjectChar">
    <w:name w:val="Comment Subject Char"/>
    <w:basedOn w:val="CommentTextChar"/>
    <w:link w:val="CommentSubject"/>
    <w:uiPriority w:val="99"/>
    <w:semiHidden/>
    <w:rsid w:val="001757A0"/>
    <w:rPr>
      <w:rFonts w:eastAsia="Calibri" w:cs="Times New Roman"/>
      <w:b/>
      <w:bCs/>
      <w:sz w:val="20"/>
      <w:szCs w:val="20"/>
    </w:rPr>
  </w:style>
  <w:style w:type="paragraph" w:styleId="Revision">
    <w:name w:val="Revision"/>
    <w:hidden/>
    <w:uiPriority w:val="99"/>
    <w:semiHidden/>
    <w:rsid w:val="00B529BD"/>
    <w:pPr>
      <w:spacing w:after="0" w:line="240" w:lineRule="auto"/>
    </w:pPr>
    <w:rPr>
      <w:rFonts w:eastAsia="Calibri" w:cs="Times New Roman"/>
    </w:rPr>
  </w:style>
  <w:style w:type="table" w:styleId="TableGrid">
    <w:name w:val="Table Grid"/>
    <w:basedOn w:val="TableNormal"/>
    <w:uiPriority w:val="39"/>
    <w:rsid w:val="00A5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2099C"/>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9047">
      <w:bodyDiv w:val="1"/>
      <w:marLeft w:val="0"/>
      <w:marRight w:val="0"/>
      <w:marTop w:val="0"/>
      <w:marBottom w:val="0"/>
      <w:divBdr>
        <w:top w:val="none" w:sz="0" w:space="0" w:color="auto"/>
        <w:left w:val="none" w:sz="0" w:space="0" w:color="auto"/>
        <w:bottom w:val="none" w:sz="0" w:space="0" w:color="auto"/>
        <w:right w:val="none" w:sz="0" w:space="0" w:color="auto"/>
      </w:divBdr>
    </w:div>
    <w:div w:id="63601635">
      <w:bodyDiv w:val="1"/>
      <w:marLeft w:val="0"/>
      <w:marRight w:val="0"/>
      <w:marTop w:val="0"/>
      <w:marBottom w:val="0"/>
      <w:divBdr>
        <w:top w:val="none" w:sz="0" w:space="0" w:color="auto"/>
        <w:left w:val="none" w:sz="0" w:space="0" w:color="auto"/>
        <w:bottom w:val="none" w:sz="0" w:space="0" w:color="auto"/>
        <w:right w:val="none" w:sz="0" w:space="0" w:color="auto"/>
      </w:divBdr>
    </w:div>
    <w:div w:id="257982195">
      <w:bodyDiv w:val="1"/>
      <w:marLeft w:val="0"/>
      <w:marRight w:val="0"/>
      <w:marTop w:val="0"/>
      <w:marBottom w:val="0"/>
      <w:divBdr>
        <w:top w:val="none" w:sz="0" w:space="0" w:color="auto"/>
        <w:left w:val="none" w:sz="0" w:space="0" w:color="auto"/>
        <w:bottom w:val="none" w:sz="0" w:space="0" w:color="auto"/>
        <w:right w:val="none" w:sz="0" w:space="0" w:color="auto"/>
      </w:divBdr>
    </w:div>
    <w:div w:id="435175116">
      <w:bodyDiv w:val="1"/>
      <w:marLeft w:val="0"/>
      <w:marRight w:val="0"/>
      <w:marTop w:val="0"/>
      <w:marBottom w:val="0"/>
      <w:divBdr>
        <w:top w:val="none" w:sz="0" w:space="0" w:color="auto"/>
        <w:left w:val="none" w:sz="0" w:space="0" w:color="auto"/>
        <w:bottom w:val="none" w:sz="0" w:space="0" w:color="auto"/>
        <w:right w:val="none" w:sz="0" w:space="0" w:color="auto"/>
      </w:divBdr>
    </w:div>
    <w:div w:id="464201388">
      <w:bodyDiv w:val="1"/>
      <w:marLeft w:val="0"/>
      <w:marRight w:val="0"/>
      <w:marTop w:val="0"/>
      <w:marBottom w:val="0"/>
      <w:divBdr>
        <w:top w:val="none" w:sz="0" w:space="0" w:color="auto"/>
        <w:left w:val="none" w:sz="0" w:space="0" w:color="auto"/>
        <w:bottom w:val="none" w:sz="0" w:space="0" w:color="auto"/>
        <w:right w:val="none" w:sz="0" w:space="0" w:color="auto"/>
      </w:divBdr>
    </w:div>
    <w:div w:id="526332369">
      <w:bodyDiv w:val="1"/>
      <w:marLeft w:val="0"/>
      <w:marRight w:val="0"/>
      <w:marTop w:val="0"/>
      <w:marBottom w:val="0"/>
      <w:divBdr>
        <w:top w:val="none" w:sz="0" w:space="0" w:color="auto"/>
        <w:left w:val="none" w:sz="0" w:space="0" w:color="auto"/>
        <w:bottom w:val="none" w:sz="0" w:space="0" w:color="auto"/>
        <w:right w:val="none" w:sz="0" w:space="0" w:color="auto"/>
      </w:divBdr>
    </w:div>
    <w:div w:id="608588464">
      <w:bodyDiv w:val="1"/>
      <w:marLeft w:val="0"/>
      <w:marRight w:val="0"/>
      <w:marTop w:val="0"/>
      <w:marBottom w:val="0"/>
      <w:divBdr>
        <w:top w:val="none" w:sz="0" w:space="0" w:color="auto"/>
        <w:left w:val="none" w:sz="0" w:space="0" w:color="auto"/>
        <w:bottom w:val="none" w:sz="0" w:space="0" w:color="auto"/>
        <w:right w:val="none" w:sz="0" w:space="0" w:color="auto"/>
      </w:divBdr>
    </w:div>
    <w:div w:id="680818992">
      <w:bodyDiv w:val="1"/>
      <w:marLeft w:val="0"/>
      <w:marRight w:val="0"/>
      <w:marTop w:val="0"/>
      <w:marBottom w:val="0"/>
      <w:divBdr>
        <w:top w:val="none" w:sz="0" w:space="0" w:color="auto"/>
        <w:left w:val="none" w:sz="0" w:space="0" w:color="auto"/>
        <w:bottom w:val="none" w:sz="0" w:space="0" w:color="auto"/>
        <w:right w:val="none" w:sz="0" w:space="0" w:color="auto"/>
      </w:divBdr>
    </w:div>
    <w:div w:id="749355996">
      <w:bodyDiv w:val="1"/>
      <w:marLeft w:val="0"/>
      <w:marRight w:val="0"/>
      <w:marTop w:val="0"/>
      <w:marBottom w:val="0"/>
      <w:divBdr>
        <w:top w:val="none" w:sz="0" w:space="0" w:color="auto"/>
        <w:left w:val="none" w:sz="0" w:space="0" w:color="auto"/>
        <w:bottom w:val="none" w:sz="0" w:space="0" w:color="auto"/>
        <w:right w:val="none" w:sz="0" w:space="0" w:color="auto"/>
      </w:divBdr>
    </w:div>
    <w:div w:id="930238133">
      <w:bodyDiv w:val="1"/>
      <w:marLeft w:val="0"/>
      <w:marRight w:val="0"/>
      <w:marTop w:val="0"/>
      <w:marBottom w:val="0"/>
      <w:divBdr>
        <w:top w:val="none" w:sz="0" w:space="0" w:color="auto"/>
        <w:left w:val="none" w:sz="0" w:space="0" w:color="auto"/>
        <w:bottom w:val="none" w:sz="0" w:space="0" w:color="auto"/>
        <w:right w:val="none" w:sz="0" w:space="0" w:color="auto"/>
      </w:divBdr>
    </w:div>
    <w:div w:id="1272007948">
      <w:bodyDiv w:val="1"/>
      <w:marLeft w:val="0"/>
      <w:marRight w:val="0"/>
      <w:marTop w:val="0"/>
      <w:marBottom w:val="0"/>
      <w:divBdr>
        <w:top w:val="none" w:sz="0" w:space="0" w:color="auto"/>
        <w:left w:val="none" w:sz="0" w:space="0" w:color="auto"/>
        <w:bottom w:val="none" w:sz="0" w:space="0" w:color="auto"/>
        <w:right w:val="none" w:sz="0" w:space="0" w:color="auto"/>
      </w:divBdr>
    </w:div>
    <w:div w:id="1307392717">
      <w:bodyDiv w:val="1"/>
      <w:marLeft w:val="0"/>
      <w:marRight w:val="0"/>
      <w:marTop w:val="0"/>
      <w:marBottom w:val="0"/>
      <w:divBdr>
        <w:top w:val="none" w:sz="0" w:space="0" w:color="auto"/>
        <w:left w:val="none" w:sz="0" w:space="0" w:color="auto"/>
        <w:bottom w:val="none" w:sz="0" w:space="0" w:color="auto"/>
        <w:right w:val="none" w:sz="0" w:space="0" w:color="auto"/>
      </w:divBdr>
    </w:div>
    <w:div w:id="1360230815">
      <w:bodyDiv w:val="1"/>
      <w:marLeft w:val="0"/>
      <w:marRight w:val="0"/>
      <w:marTop w:val="0"/>
      <w:marBottom w:val="0"/>
      <w:divBdr>
        <w:top w:val="none" w:sz="0" w:space="0" w:color="auto"/>
        <w:left w:val="none" w:sz="0" w:space="0" w:color="auto"/>
        <w:bottom w:val="none" w:sz="0" w:space="0" w:color="auto"/>
        <w:right w:val="none" w:sz="0" w:space="0" w:color="auto"/>
      </w:divBdr>
    </w:div>
    <w:div w:id="1429041602">
      <w:bodyDiv w:val="1"/>
      <w:marLeft w:val="0"/>
      <w:marRight w:val="0"/>
      <w:marTop w:val="0"/>
      <w:marBottom w:val="0"/>
      <w:divBdr>
        <w:top w:val="none" w:sz="0" w:space="0" w:color="auto"/>
        <w:left w:val="none" w:sz="0" w:space="0" w:color="auto"/>
        <w:bottom w:val="none" w:sz="0" w:space="0" w:color="auto"/>
        <w:right w:val="none" w:sz="0" w:space="0" w:color="auto"/>
      </w:divBdr>
    </w:div>
    <w:div w:id="1468013104">
      <w:bodyDiv w:val="1"/>
      <w:marLeft w:val="0"/>
      <w:marRight w:val="0"/>
      <w:marTop w:val="0"/>
      <w:marBottom w:val="0"/>
      <w:divBdr>
        <w:top w:val="none" w:sz="0" w:space="0" w:color="auto"/>
        <w:left w:val="none" w:sz="0" w:space="0" w:color="auto"/>
        <w:bottom w:val="none" w:sz="0" w:space="0" w:color="auto"/>
        <w:right w:val="none" w:sz="0" w:space="0" w:color="auto"/>
      </w:divBdr>
    </w:div>
    <w:div w:id="1512136664">
      <w:bodyDiv w:val="1"/>
      <w:marLeft w:val="0"/>
      <w:marRight w:val="0"/>
      <w:marTop w:val="0"/>
      <w:marBottom w:val="0"/>
      <w:divBdr>
        <w:top w:val="none" w:sz="0" w:space="0" w:color="auto"/>
        <w:left w:val="none" w:sz="0" w:space="0" w:color="auto"/>
        <w:bottom w:val="none" w:sz="0" w:space="0" w:color="auto"/>
        <w:right w:val="none" w:sz="0" w:space="0" w:color="auto"/>
      </w:divBdr>
    </w:div>
    <w:div w:id="1564369012">
      <w:bodyDiv w:val="1"/>
      <w:marLeft w:val="0"/>
      <w:marRight w:val="0"/>
      <w:marTop w:val="0"/>
      <w:marBottom w:val="0"/>
      <w:divBdr>
        <w:top w:val="none" w:sz="0" w:space="0" w:color="auto"/>
        <w:left w:val="none" w:sz="0" w:space="0" w:color="auto"/>
        <w:bottom w:val="none" w:sz="0" w:space="0" w:color="auto"/>
        <w:right w:val="none" w:sz="0" w:space="0" w:color="auto"/>
      </w:divBdr>
    </w:div>
    <w:div w:id="1882935473">
      <w:bodyDiv w:val="1"/>
      <w:marLeft w:val="0"/>
      <w:marRight w:val="0"/>
      <w:marTop w:val="0"/>
      <w:marBottom w:val="0"/>
      <w:divBdr>
        <w:top w:val="none" w:sz="0" w:space="0" w:color="auto"/>
        <w:left w:val="none" w:sz="0" w:space="0" w:color="auto"/>
        <w:bottom w:val="none" w:sz="0" w:space="0" w:color="auto"/>
        <w:right w:val="none" w:sz="0" w:space="0" w:color="auto"/>
      </w:divBdr>
    </w:div>
    <w:div w:id="1998725937">
      <w:bodyDiv w:val="1"/>
      <w:marLeft w:val="0"/>
      <w:marRight w:val="0"/>
      <w:marTop w:val="0"/>
      <w:marBottom w:val="0"/>
      <w:divBdr>
        <w:top w:val="none" w:sz="0" w:space="0" w:color="auto"/>
        <w:left w:val="none" w:sz="0" w:space="0" w:color="auto"/>
        <w:bottom w:val="none" w:sz="0" w:space="0" w:color="auto"/>
        <w:right w:val="none" w:sz="0" w:space="0" w:color="auto"/>
      </w:divBdr>
    </w:div>
    <w:div w:id="20522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0D18-ED32-47BB-A845-D2D2C91E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38170</Words>
  <Characters>21757</Characters>
  <Application>Microsoft Office Word</Application>
  <DocSecurity>0</DocSecurity>
  <Lines>181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Peteris</cp:lastModifiedBy>
  <cp:revision>2</cp:revision>
  <cp:lastPrinted>2017-08-21T07:43:00Z</cp:lastPrinted>
  <dcterms:created xsi:type="dcterms:W3CDTF">2017-11-19T23:47:00Z</dcterms:created>
  <dcterms:modified xsi:type="dcterms:W3CDTF">2017-11-19T23:47:00Z</dcterms:modified>
</cp:coreProperties>
</file>