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1E30A" w14:textId="5D8E0ADB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FA0AF1">
        <w:rPr>
          <w:i/>
        </w:rPr>
        <w:t>1</w:t>
      </w:r>
      <w:r w:rsidRPr="003A5E3B">
        <w:rPr>
          <w:i/>
        </w:rPr>
        <w:t xml:space="preserve">. gada </w:t>
      </w:r>
      <w:r w:rsidR="0069556F">
        <w:rPr>
          <w:i/>
        </w:rPr>
        <w:t>2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77777777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355C29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 w:rsidR="00583400">
        <w:t xml:space="preserve"> </w:t>
      </w:r>
      <w:r>
        <w:t xml:space="preserve">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A0AF1" w14:paraId="289B2951" w14:textId="77777777" w:rsidTr="00380D9A">
        <w:tc>
          <w:tcPr>
            <w:tcW w:w="3381" w:type="dxa"/>
          </w:tcPr>
          <w:p w14:paraId="53C36B83" w14:textId="55CD7B00" w:rsidR="00FA0AF1" w:rsidRDefault="00FA0AF1" w:rsidP="00FA0AF1">
            <w:r>
              <w:t>Aizsardzības un drošības jomas iepirkumu likum</w:t>
            </w:r>
            <w:r w:rsidR="00E505EC">
              <w:t>s</w:t>
            </w:r>
          </w:p>
        </w:tc>
        <w:tc>
          <w:tcPr>
            <w:tcW w:w="2822" w:type="dxa"/>
            <w:vAlign w:val="center"/>
          </w:tcPr>
          <w:p w14:paraId="4F7A9275" w14:textId="1F48E192" w:rsidR="0069556F" w:rsidRDefault="0069556F" w:rsidP="00FA0AF1">
            <w:r>
              <w:t>par 2021. gada 2. ceturksni</w:t>
            </w:r>
          </w:p>
          <w:p w14:paraId="0B0069CB" w14:textId="6ED07DE4" w:rsidR="00FA0AF1" w:rsidRDefault="00FA0AF1" w:rsidP="00FA0AF1">
            <w:r>
              <w:t>par 2021.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29E7451F" w14:textId="2D43557E" w:rsidR="00FA0AF1" w:rsidRDefault="00FA0AF1" w:rsidP="00FA0AF1">
            <w:pPr>
              <w:jc w:val="center"/>
            </w:pPr>
            <w:r>
              <w:t>20.0</w:t>
            </w:r>
            <w:r w:rsidR="0069556F">
              <w:t>7</w:t>
            </w:r>
            <w:r>
              <w:t>.2021.</w:t>
            </w:r>
          </w:p>
        </w:tc>
        <w:tc>
          <w:tcPr>
            <w:tcW w:w="1621" w:type="dxa"/>
            <w:vAlign w:val="center"/>
          </w:tcPr>
          <w:p w14:paraId="28538ED4" w14:textId="77777777" w:rsidR="00FA0AF1" w:rsidRDefault="00FA0AF1" w:rsidP="00FA0AF1">
            <w:pPr>
              <w:jc w:val="center"/>
            </w:pPr>
          </w:p>
        </w:tc>
      </w:tr>
      <w:tr w:rsidR="00FA0AF1" w14:paraId="2F19301F" w14:textId="77777777" w:rsidTr="00290A22">
        <w:tc>
          <w:tcPr>
            <w:tcW w:w="3381" w:type="dxa"/>
          </w:tcPr>
          <w:p w14:paraId="35C1EE0F" w14:textId="17C00DB2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FA0AF1" w:rsidRDefault="00FA0AF1" w:rsidP="00FA0AF1">
            <w:r>
              <w:t>par 2020. gada 4. ceturksni</w:t>
            </w:r>
          </w:p>
          <w:p w14:paraId="40F380B1" w14:textId="1C6454F4" w:rsidR="00FA0AF1" w:rsidRDefault="00FA0AF1" w:rsidP="00FA0AF1">
            <w:r>
              <w:t>par 2020. gada 3. ceturksni</w:t>
            </w:r>
          </w:p>
          <w:p w14:paraId="3447C826" w14:textId="1B5C59F3" w:rsidR="00FA0AF1" w:rsidRDefault="00FA0AF1" w:rsidP="00FA0AF1">
            <w:r>
              <w:t>par 2020. gada 2. ceturksni</w:t>
            </w:r>
          </w:p>
          <w:p w14:paraId="6BD69847" w14:textId="38D09097" w:rsidR="00FA0AF1" w:rsidRDefault="00FA0AF1" w:rsidP="00FA0AF1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FA0AF1" w:rsidRDefault="00FA0AF1" w:rsidP="00FA0AF1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FA0AF1" w:rsidRDefault="00FA0AF1" w:rsidP="00FA0AF1">
            <w:pPr>
              <w:jc w:val="center"/>
            </w:pPr>
          </w:p>
        </w:tc>
      </w:tr>
      <w:tr w:rsidR="00FA0AF1" w14:paraId="009D4249" w14:textId="77777777" w:rsidTr="00D02F75">
        <w:tc>
          <w:tcPr>
            <w:tcW w:w="3381" w:type="dxa"/>
          </w:tcPr>
          <w:p w14:paraId="74AF85DA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FA0AF1" w:rsidRDefault="00FA0AF1" w:rsidP="00FA0AF1">
            <w:r>
              <w:t>par 2019. gada 4. ceturksni</w:t>
            </w:r>
          </w:p>
          <w:p w14:paraId="03B12C06" w14:textId="5778D3D2" w:rsidR="00FA0AF1" w:rsidRDefault="00FA0AF1" w:rsidP="00FA0AF1">
            <w:r>
              <w:t>par 2019. gada 3. ceturksni</w:t>
            </w:r>
          </w:p>
          <w:p w14:paraId="6ECD86C7" w14:textId="7BD71A87" w:rsidR="00FA0AF1" w:rsidRDefault="00FA0AF1" w:rsidP="00FA0AF1">
            <w:r>
              <w:t>par 2019. gada 2. ceturksni</w:t>
            </w:r>
          </w:p>
          <w:p w14:paraId="2CBA2D65" w14:textId="644CBBCD" w:rsidR="00FA0AF1" w:rsidRDefault="00FA0AF1" w:rsidP="00FA0AF1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FA0AF1" w:rsidRDefault="00FA0AF1" w:rsidP="00FA0AF1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FA0AF1" w:rsidRDefault="00FA0AF1" w:rsidP="00FA0AF1">
            <w:pPr>
              <w:jc w:val="both"/>
            </w:pPr>
          </w:p>
        </w:tc>
      </w:tr>
      <w:tr w:rsidR="00FA0AF1" w14:paraId="11CB56C2" w14:textId="77777777" w:rsidTr="00D02F75">
        <w:tc>
          <w:tcPr>
            <w:tcW w:w="3381" w:type="dxa"/>
          </w:tcPr>
          <w:p w14:paraId="2C0489EB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FA0AF1" w:rsidRDefault="00FA0AF1" w:rsidP="00FA0AF1">
            <w:pPr>
              <w:jc w:val="both"/>
            </w:pPr>
            <w:r>
              <w:t>par 2018. gada 4. ceturksni</w:t>
            </w:r>
          </w:p>
          <w:p w14:paraId="38A40DE5" w14:textId="77777777" w:rsidR="00FA0AF1" w:rsidRDefault="00FA0AF1" w:rsidP="00FA0AF1">
            <w:pPr>
              <w:jc w:val="both"/>
            </w:pPr>
            <w:r>
              <w:t>par 2018. gada 3. ceturksni</w:t>
            </w:r>
          </w:p>
          <w:p w14:paraId="08B5CF6E" w14:textId="77777777" w:rsidR="00FA0AF1" w:rsidRDefault="00FA0AF1" w:rsidP="00FA0AF1">
            <w:pPr>
              <w:jc w:val="both"/>
            </w:pPr>
            <w:r>
              <w:t>par 2018. gada 2. ceturksni</w:t>
            </w:r>
          </w:p>
          <w:p w14:paraId="41E35C25" w14:textId="77777777" w:rsidR="00FA0AF1" w:rsidRDefault="00FA0AF1" w:rsidP="00FA0AF1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FA0AF1" w:rsidRDefault="00FA0AF1" w:rsidP="00FA0AF1">
            <w:pPr>
              <w:jc w:val="both"/>
            </w:pPr>
          </w:p>
        </w:tc>
      </w:tr>
      <w:tr w:rsidR="00FA0AF1" w14:paraId="4F4C8642" w14:textId="77777777" w:rsidTr="00D02F75">
        <w:tc>
          <w:tcPr>
            <w:tcW w:w="3381" w:type="dxa"/>
          </w:tcPr>
          <w:p w14:paraId="40CC112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FA0AF1" w:rsidRDefault="00FA0AF1" w:rsidP="00FA0AF1">
            <w:pPr>
              <w:jc w:val="both"/>
            </w:pPr>
            <w:r>
              <w:t>par 2017. gada 4. ceturksni</w:t>
            </w:r>
          </w:p>
          <w:p w14:paraId="5C639835" w14:textId="77777777" w:rsidR="00FA0AF1" w:rsidRDefault="00FA0AF1" w:rsidP="00FA0AF1">
            <w:pPr>
              <w:jc w:val="both"/>
            </w:pPr>
            <w:r>
              <w:t>par 2017. gada 3. ceturksni</w:t>
            </w:r>
          </w:p>
          <w:p w14:paraId="73D31320" w14:textId="77777777" w:rsidR="00FA0AF1" w:rsidRDefault="00FA0AF1" w:rsidP="00FA0AF1">
            <w:pPr>
              <w:jc w:val="both"/>
            </w:pPr>
            <w:r>
              <w:lastRenderedPageBreak/>
              <w:t>par 2017. gada 2. ceturksni</w:t>
            </w:r>
          </w:p>
          <w:p w14:paraId="0391A5B8" w14:textId="77777777" w:rsidR="00FA0AF1" w:rsidRDefault="00FA0AF1" w:rsidP="00FA0AF1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FA0AF1" w:rsidRDefault="00FA0AF1" w:rsidP="00FA0AF1">
            <w:pPr>
              <w:jc w:val="both"/>
            </w:pPr>
          </w:p>
        </w:tc>
      </w:tr>
      <w:tr w:rsidR="00FA0AF1" w14:paraId="0C93D19F" w14:textId="77777777" w:rsidTr="00D02F75">
        <w:tc>
          <w:tcPr>
            <w:tcW w:w="3381" w:type="dxa"/>
          </w:tcPr>
          <w:p w14:paraId="45C76034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FA0AF1" w:rsidRDefault="00FA0AF1" w:rsidP="00FA0AF1">
            <w:pPr>
              <w:jc w:val="both"/>
            </w:pPr>
            <w:r>
              <w:t>par 2016. gada 4. ceturksni</w:t>
            </w:r>
          </w:p>
          <w:p w14:paraId="1B4E63EC" w14:textId="77777777" w:rsidR="00FA0AF1" w:rsidRDefault="00FA0AF1" w:rsidP="00FA0AF1">
            <w:pPr>
              <w:jc w:val="both"/>
            </w:pPr>
            <w:r>
              <w:t>par 2016. gada 3. ceturksni</w:t>
            </w:r>
          </w:p>
          <w:p w14:paraId="295C0F41" w14:textId="77777777" w:rsidR="00FA0AF1" w:rsidRDefault="00FA0AF1" w:rsidP="00FA0AF1">
            <w:pPr>
              <w:jc w:val="both"/>
            </w:pPr>
            <w:r>
              <w:t>par 2016. gada 2. ceturksni</w:t>
            </w:r>
          </w:p>
          <w:p w14:paraId="4BC20522" w14:textId="77777777" w:rsidR="00FA0AF1" w:rsidRDefault="00FA0AF1" w:rsidP="00FA0AF1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FA0AF1" w:rsidRDefault="00FA0AF1" w:rsidP="00FA0AF1">
            <w:pPr>
              <w:jc w:val="both"/>
            </w:pPr>
            <w:r>
              <w:t>Skat. arhīvā</w:t>
            </w:r>
          </w:p>
        </w:tc>
      </w:tr>
      <w:tr w:rsidR="00FA0AF1" w14:paraId="1626EA48" w14:textId="77777777" w:rsidTr="00D02F75">
        <w:tc>
          <w:tcPr>
            <w:tcW w:w="3381" w:type="dxa"/>
          </w:tcPr>
          <w:p w14:paraId="1DDD87F2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FA0AF1" w:rsidRDefault="00FA0AF1" w:rsidP="00FA0AF1">
            <w:pPr>
              <w:jc w:val="both"/>
            </w:pPr>
            <w:r>
              <w:t>par 2015. gada 4. ceturksni</w:t>
            </w:r>
          </w:p>
          <w:p w14:paraId="7C5FA302" w14:textId="77777777" w:rsidR="00FA0AF1" w:rsidRDefault="00FA0AF1" w:rsidP="00FA0AF1">
            <w:pPr>
              <w:jc w:val="both"/>
            </w:pPr>
            <w:r>
              <w:t>par 2015. gada 3. ceturksni</w:t>
            </w:r>
          </w:p>
          <w:p w14:paraId="7BFD8E1E" w14:textId="77777777" w:rsidR="00FA0AF1" w:rsidRDefault="00FA0AF1" w:rsidP="00FA0AF1">
            <w:pPr>
              <w:jc w:val="both"/>
            </w:pPr>
            <w:r>
              <w:t>par 2015. gada 2. ceturksni</w:t>
            </w:r>
          </w:p>
          <w:p w14:paraId="4942019F" w14:textId="77777777" w:rsidR="00FA0AF1" w:rsidRDefault="00FA0AF1" w:rsidP="00FA0AF1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0985D3F1" w14:textId="77777777" w:rsidTr="00D02F75">
        <w:tc>
          <w:tcPr>
            <w:tcW w:w="3381" w:type="dxa"/>
          </w:tcPr>
          <w:p w14:paraId="6DF69330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FA0AF1" w:rsidRDefault="00FA0AF1" w:rsidP="00FA0AF1">
            <w:pPr>
              <w:jc w:val="both"/>
            </w:pPr>
            <w:r>
              <w:t>par 2014. gada 4. ceturksni</w:t>
            </w:r>
          </w:p>
          <w:p w14:paraId="7A41529B" w14:textId="77777777" w:rsidR="00FA0AF1" w:rsidRDefault="00FA0AF1" w:rsidP="00FA0AF1">
            <w:pPr>
              <w:jc w:val="both"/>
            </w:pPr>
            <w:r>
              <w:t>par 2014. gada 3. ceturksni</w:t>
            </w:r>
          </w:p>
          <w:p w14:paraId="370AEE8F" w14:textId="77777777" w:rsidR="00FA0AF1" w:rsidRDefault="00FA0AF1" w:rsidP="00FA0AF1">
            <w:pPr>
              <w:jc w:val="both"/>
            </w:pPr>
            <w:r>
              <w:t>par 2014. gada 2. ceturksni</w:t>
            </w:r>
          </w:p>
          <w:p w14:paraId="396EAD4E" w14:textId="77777777" w:rsidR="00FA0AF1" w:rsidRDefault="00FA0AF1" w:rsidP="00FA0AF1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  <w:tr w:rsidR="00FA0AF1" w14:paraId="30BAEEB6" w14:textId="77777777" w:rsidTr="00D02F75">
        <w:tc>
          <w:tcPr>
            <w:tcW w:w="3381" w:type="dxa"/>
          </w:tcPr>
          <w:p w14:paraId="6E20716E" w14:textId="77777777" w:rsidR="00FA0AF1" w:rsidRDefault="00FA0AF1" w:rsidP="00FA0AF1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FA0AF1" w:rsidRDefault="00FA0AF1" w:rsidP="00FA0AF1">
            <w:pPr>
              <w:jc w:val="both"/>
            </w:pPr>
            <w:r>
              <w:t>par 2013. gada 4. ceturksni</w:t>
            </w:r>
          </w:p>
          <w:p w14:paraId="0DF48F25" w14:textId="77777777" w:rsidR="00FA0AF1" w:rsidRDefault="00FA0AF1" w:rsidP="00FA0AF1">
            <w:pPr>
              <w:jc w:val="both"/>
            </w:pPr>
            <w:r>
              <w:t>par 2013. gada 3. ceturksni</w:t>
            </w:r>
          </w:p>
          <w:p w14:paraId="7A2439B5" w14:textId="77777777" w:rsidR="00FA0AF1" w:rsidRDefault="00FA0AF1" w:rsidP="00FA0AF1">
            <w:pPr>
              <w:jc w:val="both"/>
            </w:pPr>
            <w:r>
              <w:t>par 2013. gada 2. ceturksni</w:t>
            </w:r>
          </w:p>
          <w:p w14:paraId="5AC6C897" w14:textId="77777777" w:rsidR="00FA0AF1" w:rsidRDefault="00FA0AF1" w:rsidP="00FA0AF1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FA0AF1" w:rsidRDefault="00FA0AF1" w:rsidP="00FA0AF1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FA0AF1" w:rsidRDefault="00FA0AF1" w:rsidP="00FA0AF1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49043331" w:rsidR="009C2E47" w:rsidRDefault="00FA0AF1" w:rsidP="006B6195">
      <w:pPr>
        <w:jc w:val="both"/>
      </w:pPr>
      <w:r>
        <w:t>0</w:t>
      </w:r>
      <w:r w:rsidR="000E7EFE">
        <w:t>1</w:t>
      </w:r>
      <w:r w:rsidR="009C2E47">
        <w:t>.</w:t>
      </w:r>
      <w:r w:rsidR="000F2F28">
        <w:t>0</w:t>
      </w:r>
      <w:r w:rsidR="0069556F">
        <w:t>7</w:t>
      </w:r>
      <w:r w:rsidR="009C2E47">
        <w:t>.202</w:t>
      </w:r>
      <w:r w:rsidR="000F2F28">
        <w:t>1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proofErr w:type="spellStart"/>
      <w:r w:rsidR="00307DD8">
        <w:t>i</w:t>
      </w:r>
      <w:r w:rsidR="00FF1BF3">
        <w:t>nfografikas</w:t>
      </w:r>
      <w:proofErr w:type="spellEnd"/>
      <w:r w:rsidR="00FF1BF3">
        <w:t xml:space="preserve"> formātā</w:t>
      </w:r>
      <w:r w:rsidR="0026584D">
        <w:t xml:space="preserve"> un </w:t>
      </w:r>
      <w:proofErr w:type="spellStart"/>
      <w:r w:rsidR="0026584D">
        <w:t>laikrindās</w:t>
      </w:r>
      <w:proofErr w:type="spellEnd"/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proofErr w:type="spellStart"/>
      <w:r w:rsidR="00307DD8">
        <w:t>i</w:t>
      </w:r>
      <w:r w:rsidR="00FF1BF3">
        <w:t>nfografikas</w:t>
      </w:r>
      <w:proofErr w:type="spellEnd"/>
      <w:r>
        <w:t xml:space="preserve">). </w:t>
      </w:r>
    </w:p>
    <w:p w14:paraId="4FFE993D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77777777" w:rsidR="006B6195" w:rsidRDefault="00583400" w:rsidP="00363A09">
      <w:pPr>
        <w:pStyle w:val="Sarakstarindkopa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 xml:space="preserve">Noteikumi </w:t>
      </w:r>
      <w:r w:rsidR="00363A09">
        <w:lastRenderedPageBreak/>
        <w:t>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259CB0FC" w14:textId="4439447E" w:rsidR="006B6195" w:rsidRPr="00C64F90" w:rsidRDefault="00FA0AF1" w:rsidP="006B6195">
      <w:pPr>
        <w:jc w:val="both"/>
      </w:pPr>
      <w:r>
        <w:t>20</w:t>
      </w:r>
      <w:r w:rsidR="006B6195">
        <w:t>.</w:t>
      </w:r>
      <w:r w:rsidR="000F2F28">
        <w:t>0</w:t>
      </w:r>
      <w:r w:rsidR="0069556F">
        <w:t>7</w:t>
      </w:r>
      <w:r w:rsidR="006B6195">
        <w:t>.20</w:t>
      </w:r>
      <w:r w:rsidR="00B80531">
        <w:t>2</w:t>
      </w:r>
      <w:r w:rsidR="000F2F28">
        <w:t>1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88686C" w:rsidP="002E24F9">
      <w:pPr>
        <w:jc w:val="both"/>
      </w:pPr>
      <w:hyperlink r:id="rId7" w:history="1">
        <w:r w:rsidR="00FA35BD" w:rsidRPr="008C61EE">
          <w:rPr>
            <w:rStyle w:val="Hipersaite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E7EFE"/>
    <w:rsid w:val="000F2F28"/>
    <w:rsid w:val="000F602F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E471C0"/>
    <w:rsid w:val="00E505EC"/>
    <w:rsid w:val="00E54B1B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06B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06B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6B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6B8E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4080</Words>
  <Characters>2326</Characters>
  <Application>Microsoft Office Word</Application>
  <DocSecurity>4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cp:lastPrinted>2019-04-10T11:22:00Z</cp:lastPrinted>
  <dcterms:created xsi:type="dcterms:W3CDTF">2021-07-13T05:27:00Z</dcterms:created>
  <dcterms:modified xsi:type="dcterms:W3CDTF">2021-07-13T05:27:00Z</dcterms:modified>
</cp:coreProperties>
</file>