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4CB15" w14:textId="7EDAAFB4" w:rsidR="00EC55D2" w:rsidRPr="00627105" w:rsidRDefault="00286E26" w:rsidP="00E33C48">
      <w:pPr>
        <w:rPr>
          <w:lang w:val="fi-FI"/>
        </w:rPr>
      </w:pPr>
      <w:r w:rsidRPr="001B44B8">
        <w:rPr>
          <w:b/>
          <w:bCs/>
          <w:sz w:val="28"/>
          <w:szCs w:val="28"/>
        </w:rPr>
        <w:t>Zemu nodokļu vai beznodokļu valstu saraksts</w:t>
      </w:r>
      <w:r w:rsidR="003427BB">
        <w:rPr>
          <w:b/>
          <w:bCs/>
          <w:sz w:val="28"/>
          <w:szCs w:val="28"/>
        </w:rPr>
        <w:t xml:space="preserve"> </w:t>
      </w:r>
      <w:r w:rsidR="00627105" w:rsidRPr="00627105">
        <w:rPr>
          <w:b/>
          <w:bCs/>
          <w:sz w:val="28"/>
          <w:szCs w:val="28"/>
          <w:lang w:val="fi-FI"/>
        </w:rPr>
        <w:t>(</w:t>
      </w:r>
      <w:r w:rsidR="00627105">
        <w:rPr>
          <w:b/>
          <w:bCs/>
          <w:sz w:val="28"/>
          <w:szCs w:val="28"/>
          <w:lang w:val="fi-FI"/>
        </w:rPr>
        <w:t xml:space="preserve">atjaunots </w:t>
      </w:r>
      <w:r w:rsidR="00A75380">
        <w:rPr>
          <w:b/>
          <w:bCs/>
          <w:sz w:val="28"/>
          <w:szCs w:val="28"/>
          <w:lang w:val="fi-FI"/>
        </w:rPr>
        <w:t>10</w:t>
      </w:r>
      <w:r w:rsidR="00F177A6">
        <w:rPr>
          <w:b/>
          <w:bCs/>
          <w:sz w:val="28"/>
          <w:szCs w:val="28"/>
          <w:lang w:val="fi-FI"/>
        </w:rPr>
        <w:t>.03</w:t>
      </w:r>
      <w:r w:rsidR="00627105">
        <w:rPr>
          <w:b/>
          <w:bCs/>
          <w:sz w:val="28"/>
          <w:szCs w:val="28"/>
          <w:lang w:val="fi-FI"/>
        </w:rPr>
        <w:t>.2021.)</w:t>
      </w:r>
    </w:p>
    <w:p w14:paraId="6D41BB86" w14:textId="0DC3F7F9" w:rsidR="00EC55D2" w:rsidRDefault="00EC55D2" w:rsidP="00071A68">
      <w:pPr>
        <w:jc w:val="right"/>
        <w:rPr>
          <w:b/>
          <w:bCs/>
        </w:rPr>
      </w:pPr>
    </w:p>
    <w:tbl>
      <w:tblPr>
        <w:tblStyle w:val="GridTable4-Accent1"/>
        <w:tblW w:w="15332" w:type="dxa"/>
        <w:tblLook w:val="04A0" w:firstRow="1" w:lastRow="0" w:firstColumn="1" w:lastColumn="0" w:noHBand="0" w:noVBand="1"/>
      </w:tblPr>
      <w:tblGrid>
        <w:gridCol w:w="4578"/>
        <w:gridCol w:w="3571"/>
        <w:gridCol w:w="4348"/>
        <w:gridCol w:w="2835"/>
      </w:tblGrid>
      <w:tr w:rsidR="00EC55D2" w:rsidRPr="001B44B8" w14:paraId="42DF53AC" w14:textId="77777777" w:rsidTr="00F21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8" w:type="dxa"/>
            <w:vAlign w:val="center"/>
          </w:tcPr>
          <w:p w14:paraId="576956B6" w14:textId="3449F969" w:rsidR="00EC55D2" w:rsidRPr="001B44B8" w:rsidRDefault="00EC55D2" w:rsidP="000764D9">
            <w:pPr>
              <w:spacing w:before="120" w:after="120"/>
            </w:pPr>
            <w:r w:rsidRPr="001B44B8">
              <w:t>Zemu nodokļu vai beznodokļu valstis - MK noteikumi Nr.</w:t>
            </w:r>
            <w:r>
              <w:t> 819</w:t>
            </w:r>
            <w:r w:rsidR="00F177A6">
              <w:rPr>
                <w:rStyle w:val="FootnoteReference"/>
              </w:rPr>
              <w:footnoteReference w:id="1"/>
            </w:r>
          </w:p>
        </w:tc>
        <w:tc>
          <w:tcPr>
            <w:tcW w:w="3571" w:type="dxa"/>
            <w:vAlign w:val="center"/>
          </w:tcPr>
          <w:p w14:paraId="7F307974" w14:textId="77777777" w:rsidR="00EC55D2" w:rsidRPr="001B44B8" w:rsidRDefault="00EC55D2" w:rsidP="000764D9">
            <w:pPr>
              <w:spacing w:before="120" w:after="120"/>
              <w:cnfStyle w:val="100000000000" w:firstRow="1" w:lastRow="0" w:firstColumn="0" w:lastColumn="0" w:oddVBand="0" w:evenVBand="0" w:oddHBand="0" w:evenHBand="0" w:firstRowFirstColumn="0" w:firstRowLastColumn="0" w:lastRowFirstColumn="0" w:lastRowLastColumn="0"/>
            </w:pPr>
            <w:r w:rsidRPr="001B44B8">
              <w:t>Valstu nosaukumi angļu valodā</w:t>
            </w:r>
          </w:p>
        </w:tc>
        <w:tc>
          <w:tcPr>
            <w:tcW w:w="4348" w:type="dxa"/>
            <w:vAlign w:val="center"/>
          </w:tcPr>
          <w:p w14:paraId="01B04238" w14:textId="77777777" w:rsidR="00EC55D2" w:rsidRPr="001B44B8" w:rsidRDefault="00EC55D2" w:rsidP="000764D9">
            <w:pPr>
              <w:spacing w:before="60" w:after="60"/>
              <w:cnfStyle w:val="100000000000" w:firstRow="1" w:lastRow="0" w:firstColumn="0" w:lastColumn="0" w:oddVBand="0" w:evenVBand="0" w:oddHBand="0" w:evenHBand="0" w:firstRowFirstColumn="0" w:firstRowLastColumn="0" w:lastRowFirstColumn="0" w:lastRowLastColumn="0"/>
            </w:pPr>
            <w:r w:rsidRPr="001B44B8">
              <w:t>Nav uzskatāma par ārzonu (pamatojums)</w:t>
            </w:r>
          </w:p>
        </w:tc>
        <w:tc>
          <w:tcPr>
            <w:tcW w:w="2835" w:type="dxa"/>
            <w:vAlign w:val="center"/>
          </w:tcPr>
          <w:p w14:paraId="61E9012F" w14:textId="7DC642A9" w:rsidR="00EC55D2" w:rsidRPr="001B44B8" w:rsidRDefault="00EC55D2" w:rsidP="000764D9">
            <w:pPr>
              <w:spacing w:before="120" w:after="120"/>
              <w:cnfStyle w:val="100000000000" w:firstRow="1" w:lastRow="0" w:firstColumn="0" w:lastColumn="0" w:oddVBand="0" w:evenVBand="0" w:oddHBand="0" w:evenHBand="0" w:firstRowFirstColumn="0" w:firstRowLastColumn="0" w:lastRowFirstColumn="0" w:lastRowLastColumn="0"/>
            </w:pPr>
            <w:r w:rsidRPr="001B44B8">
              <w:t>Ārzonas valstis - PIL 1.panta 3.¹punkt</w:t>
            </w:r>
            <w:r w:rsidR="00F177A6">
              <w:t>s</w:t>
            </w:r>
            <w:r w:rsidR="00F177A6">
              <w:rPr>
                <w:rStyle w:val="FootnoteReference"/>
              </w:rPr>
              <w:footnoteReference w:id="2"/>
            </w:r>
          </w:p>
        </w:tc>
      </w:tr>
      <w:tr w:rsidR="00EC55D2" w:rsidRPr="001B44B8" w14:paraId="1CA666B0" w14:textId="77777777" w:rsidTr="00F21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8" w:type="dxa"/>
            <w:vAlign w:val="center"/>
          </w:tcPr>
          <w:p w14:paraId="146A816A" w14:textId="77777777" w:rsidR="00EC55D2" w:rsidRPr="00395714" w:rsidRDefault="00EC55D2" w:rsidP="00EC55D2">
            <w:pPr>
              <w:rPr>
                <w:b w:val="0"/>
                <w:bCs w:val="0"/>
              </w:rPr>
            </w:pPr>
            <w:r w:rsidRPr="00395714">
              <w:t>Angiljas teritorija</w:t>
            </w:r>
            <w:r w:rsidR="007A6F8E" w:rsidRPr="00395714">
              <w:t xml:space="preserve"> </w:t>
            </w:r>
          </w:p>
          <w:p w14:paraId="2F269F41" w14:textId="10593A00" w:rsidR="007A6F8E" w:rsidRPr="00395714" w:rsidRDefault="007A6F8E" w:rsidP="00EC55D2">
            <w:r w:rsidRPr="00395714">
              <w:t>(Britu aizjūras teritorija Karību reģionā)</w:t>
            </w:r>
          </w:p>
        </w:tc>
        <w:tc>
          <w:tcPr>
            <w:tcW w:w="3571" w:type="dxa"/>
            <w:vAlign w:val="center"/>
          </w:tcPr>
          <w:p w14:paraId="77B85714" w14:textId="012B4496" w:rsidR="00EC55D2" w:rsidRPr="00395714" w:rsidRDefault="007A6F8E" w:rsidP="000764D9">
            <w:pPr>
              <w:spacing w:before="120" w:after="120"/>
              <w:cnfStyle w:val="000000100000" w:firstRow="0" w:lastRow="0" w:firstColumn="0" w:lastColumn="0" w:oddVBand="0" w:evenVBand="0" w:oddHBand="1" w:evenHBand="0" w:firstRowFirstColumn="0" w:firstRowLastColumn="0" w:lastRowFirstColumn="0" w:lastRowLastColumn="0"/>
            </w:pPr>
            <w:proofErr w:type="spellStart"/>
            <w:r w:rsidRPr="00395714">
              <w:t>Anguilla</w:t>
            </w:r>
            <w:proofErr w:type="spellEnd"/>
          </w:p>
        </w:tc>
        <w:tc>
          <w:tcPr>
            <w:tcW w:w="4348" w:type="dxa"/>
            <w:vAlign w:val="center"/>
          </w:tcPr>
          <w:p w14:paraId="75F18BA1" w14:textId="5CC70776" w:rsidR="00EC55D2" w:rsidRPr="00395714" w:rsidRDefault="00DA1FA2" w:rsidP="00D26D6C">
            <w:pPr>
              <w:tabs>
                <w:tab w:val="left" w:pos="4008"/>
              </w:tabs>
              <w:spacing w:before="60" w:after="60"/>
              <w:cnfStyle w:val="000000100000" w:firstRow="0" w:lastRow="0" w:firstColumn="0" w:lastColumn="0" w:oddVBand="0" w:evenVBand="0" w:oddHBand="1" w:evenHBand="0" w:firstRowFirstColumn="0" w:firstRowLastColumn="0" w:lastRowFirstColumn="0" w:lastRowLastColumn="0"/>
            </w:pPr>
            <w:r w:rsidRPr="00395714">
              <w:t>PTO Nolīguma par valsts līgumiem dalībvalsts teritorija</w:t>
            </w:r>
          </w:p>
        </w:tc>
        <w:tc>
          <w:tcPr>
            <w:tcW w:w="2835" w:type="dxa"/>
            <w:vAlign w:val="center"/>
          </w:tcPr>
          <w:p w14:paraId="4E8698F2" w14:textId="1A56CF8D" w:rsidR="00EC55D2" w:rsidRPr="001B44B8" w:rsidRDefault="00DA1FA2" w:rsidP="000764D9">
            <w:pPr>
              <w:spacing w:before="120" w:after="120"/>
              <w:cnfStyle w:val="000000100000" w:firstRow="0" w:lastRow="0" w:firstColumn="0" w:lastColumn="0" w:oddVBand="0" w:evenVBand="0" w:oddHBand="1" w:evenHBand="0" w:firstRowFirstColumn="0" w:firstRowLastColumn="0" w:lastRowFirstColumn="0" w:lastRowLastColumn="0"/>
            </w:pPr>
            <w:r w:rsidRPr="006A6C4F">
              <w:t>–</w:t>
            </w:r>
          </w:p>
        </w:tc>
      </w:tr>
      <w:tr w:rsidR="00EC55D2" w:rsidRPr="001B44B8" w14:paraId="194376EE" w14:textId="77777777" w:rsidTr="00F2149B">
        <w:tc>
          <w:tcPr>
            <w:cnfStyle w:val="001000000000" w:firstRow="0" w:lastRow="0" w:firstColumn="1" w:lastColumn="0" w:oddVBand="0" w:evenVBand="0" w:oddHBand="0" w:evenHBand="0" w:firstRowFirstColumn="0" w:firstRowLastColumn="0" w:lastRowFirstColumn="0" w:lastRowLastColumn="0"/>
            <w:tcW w:w="4578" w:type="dxa"/>
            <w:vAlign w:val="center"/>
          </w:tcPr>
          <w:p w14:paraId="3EC8259D" w14:textId="3836AC87" w:rsidR="00EC55D2" w:rsidRPr="00395714" w:rsidRDefault="00EC55D2" w:rsidP="00EC55D2">
            <w:r w:rsidRPr="00395714">
              <w:t>Amerikas Savienoto valstu Guama</w:t>
            </w:r>
          </w:p>
        </w:tc>
        <w:tc>
          <w:tcPr>
            <w:tcW w:w="3571" w:type="dxa"/>
            <w:vAlign w:val="center"/>
          </w:tcPr>
          <w:p w14:paraId="1F57BAF3" w14:textId="03319C1C" w:rsidR="00EC55D2" w:rsidRPr="00395714" w:rsidRDefault="00EC55D2" w:rsidP="00EC55D2">
            <w:pPr>
              <w:spacing w:before="120" w:after="120"/>
              <w:cnfStyle w:val="000000000000" w:firstRow="0" w:lastRow="0" w:firstColumn="0" w:lastColumn="0" w:oddVBand="0" w:evenVBand="0" w:oddHBand="0" w:evenHBand="0" w:firstRowFirstColumn="0" w:firstRowLastColumn="0" w:lastRowFirstColumn="0" w:lastRowLastColumn="0"/>
            </w:pPr>
            <w:proofErr w:type="spellStart"/>
            <w:r w:rsidRPr="00395714">
              <w:t>Territory</w:t>
            </w:r>
            <w:proofErr w:type="spellEnd"/>
            <w:r w:rsidRPr="00395714">
              <w:t xml:space="preserve"> </w:t>
            </w:r>
            <w:proofErr w:type="spellStart"/>
            <w:r w:rsidRPr="00395714">
              <w:t>of</w:t>
            </w:r>
            <w:proofErr w:type="spellEnd"/>
            <w:r w:rsidRPr="00395714">
              <w:t xml:space="preserve"> </w:t>
            </w:r>
            <w:proofErr w:type="spellStart"/>
            <w:r w:rsidRPr="00395714">
              <w:t>Guam</w:t>
            </w:r>
            <w:proofErr w:type="spellEnd"/>
          </w:p>
        </w:tc>
        <w:tc>
          <w:tcPr>
            <w:tcW w:w="4348" w:type="dxa"/>
            <w:vAlign w:val="center"/>
          </w:tcPr>
          <w:p w14:paraId="03ABB7A0" w14:textId="213E9F5D" w:rsidR="00EC55D2" w:rsidRPr="00395714" w:rsidRDefault="00EC55D2" w:rsidP="00EC55D2">
            <w:pPr>
              <w:spacing w:before="60" w:after="60"/>
              <w:cnfStyle w:val="000000000000" w:firstRow="0" w:lastRow="0" w:firstColumn="0" w:lastColumn="0" w:oddVBand="0" w:evenVBand="0" w:oddHBand="0" w:evenHBand="0" w:firstRowFirstColumn="0" w:firstRowLastColumn="0" w:lastRowFirstColumn="0" w:lastRowLastColumn="0"/>
            </w:pPr>
            <w:r w:rsidRPr="00395714">
              <w:t>PTO Nolīguma par valsts līgumiem dalībvalsts teritorija</w:t>
            </w:r>
          </w:p>
        </w:tc>
        <w:tc>
          <w:tcPr>
            <w:tcW w:w="2835" w:type="dxa"/>
          </w:tcPr>
          <w:p w14:paraId="6DB02334" w14:textId="3CE43876" w:rsidR="00EC55D2" w:rsidRPr="001B44B8" w:rsidRDefault="00DA1FA2" w:rsidP="00EC55D2">
            <w:pPr>
              <w:spacing w:before="120" w:after="120"/>
              <w:cnfStyle w:val="000000000000" w:firstRow="0" w:lastRow="0" w:firstColumn="0" w:lastColumn="0" w:oddVBand="0" w:evenVBand="0" w:oddHBand="0" w:evenHBand="0" w:firstRowFirstColumn="0" w:firstRowLastColumn="0" w:lastRowFirstColumn="0" w:lastRowLastColumn="0"/>
            </w:pPr>
            <w:r w:rsidRPr="006A6C4F">
              <w:t>–</w:t>
            </w:r>
          </w:p>
        </w:tc>
      </w:tr>
      <w:tr w:rsidR="00447045" w:rsidRPr="001B44B8" w14:paraId="6C26E327" w14:textId="77777777" w:rsidTr="00F21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8" w:type="dxa"/>
            <w:vAlign w:val="center"/>
          </w:tcPr>
          <w:p w14:paraId="4271C2E7" w14:textId="33561CCD" w:rsidR="00447045" w:rsidRPr="00395714" w:rsidRDefault="00447045" w:rsidP="00447045">
            <w:r w:rsidRPr="00395714">
              <w:t>Amerikas Savienoto valstu Samoa teritorija</w:t>
            </w:r>
          </w:p>
        </w:tc>
        <w:tc>
          <w:tcPr>
            <w:tcW w:w="3571" w:type="dxa"/>
            <w:vAlign w:val="center"/>
          </w:tcPr>
          <w:p w14:paraId="214EEB64" w14:textId="7849B598" w:rsidR="00447045" w:rsidRPr="00395714" w:rsidRDefault="00447045" w:rsidP="00447045">
            <w:pPr>
              <w:spacing w:before="120" w:after="120"/>
              <w:cnfStyle w:val="000000100000" w:firstRow="0" w:lastRow="0" w:firstColumn="0" w:lastColumn="0" w:oddVBand="0" w:evenVBand="0" w:oddHBand="1" w:evenHBand="0" w:firstRowFirstColumn="0" w:firstRowLastColumn="0" w:lastRowFirstColumn="0" w:lastRowLastColumn="0"/>
            </w:pPr>
            <w:r w:rsidRPr="00395714">
              <w:t>American Samoa</w:t>
            </w:r>
          </w:p>
        </w:tc>
        <w:tc>
          <w:tcPr>
            <w:tcW w:w="4348" w:type="dxa"/>
            <w:vAlign w:val="center"/>
          </w:tcPr>
          <w:p w14:paraId="6BA91C24" w14:textId="27BC1888" w:rsidR="00447045" w:rsidRPr="00395714" w:rsidRDefault="00447045" w:rsidP="00447045">
            <w:pPr>
              <w:spacing w:before="60" w:after="60"/>
              <w:cnfStyle w:val="000000100000" w:firstRow="0" w:lastRow="0" w:firstColumn="0" w:lastColumn="0" w:oddVBand="0" w:evenVBand="0" w:oddHBand="1" w:evenHBand="0" w:firstRowFirstColumn="0" w:firstRowLastColumn="0" w:lastRowFirstColumn="0" w:lastRowLastColumn="0"/>
            </w:pPr>
            <w:r w:rsidRPr="00395714">
              <w:t>PTO Nolīguma par valsts līgumiem dalībvalsts teritorija</w:t>
            </w:r>
          </w:p>
        </w:tc>
        <w:tc>
          <w:tcPr>
            <w:tcW w:w="2835" w:type="dxa"/>
            <w:vAlign w:val="center"/>
          </w:tcPr>
          <w:p w14:paraId="51A96F7D" w14:textId="3BD17772" w:rsidR="00447045" w:rsidRPr="00447045" w:rsidRDefault="00447045" w:rsidP="00447045">
            <w:pPr>
              <w:spacing w:before="120" w:after="120"/>
              <w:cnfStyle w:val="000000100000" w:firstRow="0" w:lastRow="0" w:firstColumn="0" w:lastColumn="0" w:oddVBand="0" w:evenVBand="0" w:oddHBand="1" w:evenHBand="0" w:firstRowFirstColumn="0" w:firstRowLastColumn="0" w:lastRowFirstColumn="0" w:lastRowLastColumn="0"/>
              <w:rPr>
                <w:lang w:val="en-GB"/>
              </w:rPr>
            </w:pPr>
            <w:r w:rsidRPr="006A6C4F">
              <w:t>–</w:t>
            </w:r>
          </w:p>
        </w:tc>
      </w:tr>
      <w:tr w:rsidR="00447045" w:rsidRPr="001B44B8" w14:paraId="45351378" w14:textId="77777777" w:rsidTr="00F2149B">
        <w:tc>
          <w:tcPr>
            <w:cnfStyle w:val="001000000000" w:firstRow="0" w:lastRow="0" w:firstColumn="1" w:lastColumn="0" w:oddVBand="0" w:evenVBand="0" w:oddHBand="0" w:evenHBand="0" w:firstRowFirstColumn="0" w:firstRowLastColumn="0" w:lastRowFirstColumn="0" w:lastRowLastColumn="0"/>
            <w:tcW w:w="4578" w:type="dxa"/>
            <w:vAlign w:val="center"/>
          </w:tcPr>
          <w:p w14:paraId="4FF205A1" w14:textId="5F4D50C0" w:rsidR="00447045" w:rsidRPr="00395714" w:rsidRDefault="00447045" w:rsidP="00447045">
            <w:pPr>
              <w:spacing w:before="120" w:after="120"/>
            </w:pPr>
            <w:r w:rsidRPr="00395714">
              <w:t>Amerikas Savienoto valstu Virdžīnu salas</w:t>
            </w:r>
          </w:p>
        </w:tc>
        <w:tc>
          <w:tcPr>
            <w:tcW w:w="3571" w:type="dxa"/>
            <w:vAlign w:val="center"/>
          </w:tcPr>
          <w:p w14:paraId="12CED6DF" w14:textId="77777777" w:rsidR="00447045" w:rsidRPr="00395714" w:rsidRDefault="00447045" w:rsidP="00447045">
            <w:pPr>
              <w:spacing w:before="120" w:after="120"/>
              <w:cnfStyle w:val="000000000000" w:firstRow="0" w:lastRow="0" w:firstColumn="0" w:lastColumn="0" w:oddVBand="0" w:evenVBand="0" w:oddHBand="0" w:evenHBand="0" w:firstRowFirstColumn="0" w:firstRowLastColumn="0" w:lastRowFirstColumn="0" w:lastRowLastColumn="0"/>
            </w:pPr>
            <w:proofErr w:type="spellStart"/>
            <w:r w:rsidRPr="00395714">
              <w:t>United</w:t>
            </w:r>
            <w:proofErr w:type="spellEnd"/>
            <w:r w:rsidRPr="00395714">
              <w:t xml:space="preserve"> </w:t>
            </w:r>
            <w:proofErr w:type="spellStart"/>
            <w:r w:rsidRPr="00395714">
              <w:t>States</w:t>
            </w:r>
            <w:proofErr w:type="spellEnd"/>
            <w:r w:rsidRPr="00395714">
              <w:t xml:space="preserve"> </w:t>
            </w:r>
            <w:proofErr w:type="spellStart"/>
            <w:r w:rsidRPr="00395714">
              <w:t>Virgin</w:t>
            </w:r>
            <w:proofErr w:type="spellEnd"/>
            <w:r w:rsidRPr="00395714">
              <w:t xml:space="preserve"> </w:t>
            </w:r>
            <w:proofErr w:type="spellStart"/>
            <w:r w:rsidRPr="00395714">
              <w:t>Islands</w:t>
            </w:r>
            <w:proofErr w:type="spellEnd"/>
          </w:p>
        </w:tc>
        <w:tc>
          <w:tcPr>
            <w:tcW w:w="4348" w:type="dxa"/>
            <w:vAlign w:val="center"/>
          </w:tcPr>
          <w:p w14:paraId="2415D346" w14:textId="77777777" w:rsidR="00447045" w:rsidRPr="00395714" w:rsidRDefault="00447045" w:rsidP="00447045">
            <w:pPr>
              <w:spacing w:before="60" w:after="60"/>
              <w:cnfStyle w:val="000000000000" w:firstRow="0" w:lastRow="0" w:firstColumn="0" w:lastColumn="0" w:oddVBand="0" w:evenVBand="0" w:oddHBand="0" w:evenHBand="0" w:firstRowFirstColumn="0" w:firstRowLastColumn="0" w:lastRowFirstColumn="0" w:lastRowLastColumn="0"/>
            </w:pPr>
            <w:r w:rsidRPr="00395714">
              <w:t>PTO Nolīguma par valsts līgumiem dalībvalsts teritorija</w:t>
            </w:r>
          </w:p>
        </w:tc>
        <w:tc>
          <w:tcPr>
            <w:tcW w:w="2835" w:type="dxa"/>
            <w:vAlign w:val="center"/>
          </w:tcPr>
          <w:p w14:paraId="7456E8FC" w14:textId="77777777" w:rsidR="00447045" w:rsidRPr="001B44B8" w:rsidRDefault="00447045" w:rsidP="00447045">
            <w:pPr>
              <w:spacing w:before="120" w:after="120"/>
              <w:cnfStyle w:val="000000000000" w:firstRow="0" w:lastRow="0" w:firstColumn="0" w:lastColumn="0" w:oddVBand="0" w:evenVBand="0" w:oddHBand="0" w:evenHBand="0" w:firstRowFirstColumn="0" w:firstRowLastColumn="0" w:lastRowFirstColumn="0" w:lastRowLastColumn="0"/>
            </w:pPr>
            <w:r w:rsidRPr="001B44B8">
              <w:t>–</w:t>
            </w:r>
          </w:p>
        </w:tc>
      </w:tr>
      <w:tr w:rsidR="00DA1FA2" w:rsidRPr="001B44B8" w14:paraId="7FC72F55" w14:textId="77777777" w:rsidTr="00F21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8" w:type="dxa"/>
            <w:vAlign w:val="center"/>
          </w:tcPr>
          <w:p w14:paraId="76DED305" w14:textId="46C68927" w:rsidR="00DA1FA2" w:rsidRPr="00F177A6" w:rsidRDefault="00DA1FA2" w:rsidP="00DA1FA2">
            <w:pPr>
              <w:spacing w:before="120" w:after="120"/>
            </w:pPr>
            <w:r w:rsidRPr="00F177A6">
              <w:t>Barbadosa</w:t>
            </w:r>
          </w:p>
        </w:tc>
        <w:tc>
          <w:tcPr>
            <w:tcW w:w="3571" w:type="dxa"/>
            <w:vAlign w:val="center"/>
          </w:tcPr>
          <w:p w14:paraId="5D525ABB" w14:textId="1AFD26B6" w:rsidR="00DA1FA2" w:rsidRPr="00F177A6" w:rsidRDefault="00DA1FA2" w:rsidP="00DA1FA2">
            <w:pPr>
              <w:spacing w:before="120" w:after="120"/>
              <w:cnfStyle w:val="000000100000" w:firstRow="0" w:lastRow="0" w:firstColumn="0" w:lastColumn="0" w:oddVBand="0" w:evenVBand="0" w:oddHBand="1" w:evenHBand="0" w:firstRowFirstColumn="0" w:firstRowLastColumn="0" w:lastRowFirstColumn="0" w:lastRowLastColumn="0"/>
            </w:pPr>
            <w:proofErr w:type="spellStart"/>
            <w:r w:rsidRPr="00F177A6">
              <w:t>Barbados</w:t>
            </w:r>
            <w:proofErr w:type="spellEnd"/>
          </w:p>
        </w:tc>
        <w:tc>
          <w:tcPr>
            <w:tcW w:w="4348" w:type="dxa"/>
            <w:vAlign w:val="center"/>
          </w:tcPr>
          <w:p w14:paraId="3B6F91C6" w14:textId="1E4DAA5B" w:rsidR="00DA1FA2" w:rsidRPr="00F177A6" w:rsidRDefault="00DA1FA2" w:rsidP="00DA1FA2">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F177A6">
              <w:t>ES Ekonomisko partnerattiecību nolīgums ar CARIFORUM valstīm</w:t>
            </w:r>
            <w:r w:rsidR="00AC0D62" w:rsidRPr="00F177A6">
              <w:rPr>
                <w:rStyle w:val="FootnoteReference"/>
              </w:rPr>
              <w:footnoteReference w:id="3"/>
            </w:r>
          </w:p>
        </w:tc>
        <w:tc>
          <w:tcPr>
            <w:tcW w:w="2835" w:type="dxa"/>
            <w:vAlign w:val="center"/>
          </w:tcPr>
          <w:p w14:paraId="42382A9A" w14:textId="4A7C28FE" w:rsidR="00DA1FA2" w:rsidRPr="001B44B8" w:rsidRDefault="00DA1FA2" w:rsidP="00DA1FA2">
            <w:pPr>
              <w:spacing w:before="120" w:after="120"/>
              <w:cnfStyle w:val="000000100000" w:firstRow="0" w:lastRow="0" w:firstColumn="0" w:lastColumn="0" w:oddVBand="0" w:evenVBand="0" w:oddHBand="1" w:evenHBand="0" w:firstRowFirstColumn="0" w:firstRowLastColumn="0" w:lastRowFirstColumn="0" w:lastRowLastColumn="0"/>
            </w:pPr>
            <w:r w:rsidRPr="006A6C4F">
              <w:t>–</w:t>
            </w:r>
          </w:p>
        </w:tc>
      </w:tr>
      <w:tr w:rsidR="00DB7C59" w:rsidRPr="001B44B8" w14:paraId="24FC36F8" w14:textId="77777777" w:rsidTr="00F2149B">
        <w:tc>
          <w:tcPr>
            <w:cnfStyle w:val="001000000000" w:firstRow="0" w:lastRow="0" w:firstColumn="1" w:lastColumn="0" w:oddVBand="0" w:evenVBand="0" w:oddHBand="0" w:evenHBand="0" w:firstRowFirstColumn="0" w:firstRowLastColumn="0" w:lastRowFirstColumn="0" w:lastRowLastColumn="0"/>
            <w:tcW w:w="4578" w:type="dxa"/>
            <w:vAlign w:val="center"/>
          </w:tcPr>
          <w:p w14:paraId="41133CA6" w14:textId="2ADEBEB3" w:rsidR="00DB7C59" w:rsidRPr="00F177A6" w:rsidRDefault="00DB7C59" w:rsidP="00DB7C59">
            <w:pPr>
              <w:spacing w:before="120" w:after="120"/>
            </w:pPr>
            <w:r w:rsidRPr="00F177A6">
              <w:t>Fidži Republika</w:t>
            </w:r>
          </w:p>
        </w:tc>
        <w:tc>
          <w:tcPr>
            <w:tcW w:w="3571" w:type="dxa"/>
            <w:vAlign w:val="center"/>
          </w:tcPr>
          <w:p w14:paraId="1A0A81F3" w14:textId="311393DF" w:rsidR="00DB7C59" w:rsidRPr="00F177A6" w:rsidRDefault="00DB7C59" w:rsidP="00DB7C59">
            <w:pPr>
              <w:spacing w:before="120" w:after="120"/>
              <w:cnfStyle w:val="000000000000" w:firstRow="0" w:lastRow="0" w:firstColumn="0" w:lastColumn="0" w:oddVBand="0" w:evenVBand="0" w:oddHBand="0" w:evenHBand="0" w:firstRowFirstColumn="0" w:firstRowLastColumn="0" w:lastRowFirstColumn="0" w:lastRowLastColumn="0"/>
            </w:pPr>
            <w:proofErr w:type="spellStart"/>
            <w:r w:rsidRPr="00F177A6">
              <w:t>Fiji</w:t>
            </w:r>
            <w:proofErr w:type="spellEnd"/>
            <w:r w:rsidRPr="00F177A6">
              <w:t xml:space="preserve"> </w:t>
            </w:r>
            <w:proofErr w:type="spellStart"/>
            <w:r w:rsidRPr="00F177A6">
              <w:t>Republic</w:t>
            </w:r>
            <w:proofErr w:type="spellEnd"/>
          </w:p>
        </w:tc>
        <w:tc>
          <w:tcPr>
            <w:tcW w:w="4348" w:type="dxa"/>
            <w:vAlign w:val="center"/>
          </w:tcPr>
          <w:p w14:paraId="2028125C" w14:textId="7B59A2EB" w:rsidR="00DB7C59" w:rsidRPr="00F177A6" w:rsidRDefault="00AC0D62" w:rsidP="000255F4">
            <w:pPr>
              <w:cnfStyle w:val="000000000000" w:firstRow="0" w:lastRow="0" w:firstColumn="0" w:lastColumn="0" w:oddVBand="0" w:evenVBand="0" w:oddHBand="0" w:evenHBand="0" w:firstRowFirstColumn="0" w:firstRowLastColumn="0" w:lastRowFirstColumn="0" w:lastRowLastColumn="0"/>
              <w:rPr>
                <w:lang w:val="fi-FI"/>
              </w:rPr>
            </w:pPr>
            <w:r w:rsidRPr="00F177A6">
              <w:t>ES Ekonomisko partnerattiecību nolīgums ar COTONOU valstīm</w:t>
            </w:r>
            <w:r w:rsidR="00F177A6" w:rsidRPr="00F177A6">
              <w:rPr>
                <w:rStyle w:val="FootnoteReference"/>
              </w:rPr>
              <w:footnoteReference w:id="4"/>
            </w:r>
          </w:p>
        </w:tc>
        <w:tc>
          <w:tcPr>
            <w:tcW w:w="2835" w:type="dxa"/>
            <w:vAlign w:val="center"/>
          </w:tcPr>
          <w:p w14:paraId="3C55070C" w14:textId="77777777" w:rsidR="00DB7C59" w:rsidRPr="001B44B8" w:rsidRDefault="00DB7C59" w:rsidP="00DB7C59">
            <w:pPr>
              <w:spacing w:before="120" w:after="120"/>
              <w:cnfStyle w:val="000000000000" w:firstRow="0" w:lastRow="0" w:firstColumn="0" w:lastColumn="0" w:oddVBand="0" w:evenVBand="0" w:oddHBand="0" w:evenHBand="0" w:firstRowFirstColumn="0" w:firstRowLastColumn="0" w:lastRowFirstColumn="0" w:lastRowLastColumn="0"/>
            </w:pPr>
          </w:p>
        </w:tc>
      </w:tr>
      <w:tr w:rsidR="00AC0D62" w:rsidRPr="001B44B8" w14:paraId="6095E666" w14:textId="77777777" w:rsidTr="00F21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8" w:type="dxa"/>
            <w:vAlign w:val="center"/>
          </w:tcPr>
          <w:p w14:paraId="55F2C8AB" w14:textId="56EC1BD4" w:rsidR="00AC0D62" w:rsidRPr="00F177A6" w:rsidRDefault="00AC0D62" w:rsidP="00AC0D62">
            <w:pPr>
              <w:spacing w:before="120" w:after="120"/>
            </w:pPr>
            <w:r w:rsidRPr="00F177A6">
              <w:t>Palau Republika</w:t>
            </w:r>
          </w:p>
        </w:tc>
        <w:tc>
          <w:tcPr>
            <w:tcW w:w="3571" w:type="dxa"/>
            <w:vAlign w:val="center"/>
          </w:tcPr>
          <w:p w14:paraId="5E091C6A" w14:textId="411DBAD9" w:rsidR="00AC0D62" w:rsidRPr="00F177A6" w:rsidRDefault="00AC0D62" w:rsidP="00AC0D62">
            <w:pPr>
              <w:spacing w:before="120" w:after="120"/>
              <w:cnfStyle w:val="000000100000" w:firstRow="0" w:lastRow="0" w:firstColumn="0" w:lastColumn="0" w:oddVBand="0" w:evenVBand="0" w:oddHBand="1" w:evenHBand="0" w:firstRowFirstColumn="0" w:firstRowLastColumn="0" w:lastRowFirstColumn="0" w:lastRowLastColumn="0"/>
            </w:pPr>
            <w:proofErr w:type="spellStart"/>
            <w:r w:rsidRPr="00F177A6">
              <w:t>Republic</w:t>
            </w:r>
            <w:proofErr w:type="spellEnd"/>
            <w:r w:rsidRPr="00F177A6">
              <w:t xml:space="preserve"> </w:t>
            </w:r>
            <w:proofErr w:type="spellStart"/>
            <w:r w:rsidRPr="00F177A6">
              <w:t>of</w:t>
            </w:r>
            <w:proofErr w:type="spellEnd"/>
            <w:r w:rsidRPr="00F177A6">
              <w:t xml:space="preserve"> Palau</w:t>
            </w:r>
          </w:p>
        </w:tc>
        <w:tc>
          <w:tcPr>
            <w:tcW w:w="4348" w:type="dxa"/>
            <w:vAlign w:val="center"/>
          </w:tcPr>
          <w:p w14:paraId="1E93F59D" w14:textId="158E07F0" w:rsidR="00AC0D62" w:rsidRPr="00F177A6" w:rsidRDefault="00AC0D62" w:rsidP="00AC0D62">
            <w:pPr>
              <w:cnfStyle w:val="000000100000" w:firstRow="0" w:lastRow="0" w:firstColumn="0" w:lastColumn="0" w:oddVBand="0" w:evenVBand="0" w:oddHBand="1" w:evenHBand="0" w:firstRowFirstColumn="0" w:firstRowLastColumn="0" w:lastRowFirstColumn="0" w:lastRowLastColumn="0"/>
              <w:rPr>
                <w:lang w:val="fi-FI"/>
              </w:rPr>
            </w:pPr>
            <w:r w:rsidRPr="00F177A6">
              <w:t>ES Ekonomisko partnerattiecību nolīgums ar COTONOU valstīm</w:t>
            </w:r>
          </w:p>
        </w:tc>
        <w:tc>
          <w:tcPr>
            <w:tcW w:w="2835" w:type="dxa"/>
            <w:vAlign w:val="center"/>
          </w:tcPr>
          <w:p w14:paraId="2D42391D" w14:textId="64189CA6" w:rsidR="00AC0D62" w:rsidRPr="00DA1FA2" w:rsidRDefault="00AC0D62" w:rsidP="00AC0D62">
            <w:pPr>
              <w:spacing w:before="120" w:after="120"/>
              <w:cnfStyle w:val="000000100000" w:firstRow="0" w:lastRow="0" w:firstColumn="0" w:lastColumn="0" w:oddVBand="0" w:evenVBand="0" w:oddHBand="1" w:evenHBand="0" w:firstRowFirstColumn="0" w:firstRowLastColumn="0" w:lastRowFirstColumn="0" w:lastRowLastColumn="0"/>
            </w:pPr>
          </w:p>
        </w:tc>
      </w:tr>
      <w:tr w:rsidR="00742C4D" w:rsidRPr="001B44B8" w14:paraId="5FA7EC5E" w14:textId="77777777" w:rsidTr="00F2149B">
        <w:tc>
          <w:tcPr>
            <w:cnfStyle w:val="001000000000" w:firstRow="0" w:lastRow="0" w:firstColumn="1" w:lastColumn="0" w:oddVBand="0" w:evenVBand="0" w:oddHBand="0" w:evenHBand="0" w:firstRowFirstColumn="0" w:firstRowLastColumn="0" w:lastRowFirstColumn="0" w:lastRowLastColumn="0"/>
            <w:tcW w:w="4578" w:type="dxa"/>
            <w:vAlign w:val="center"/>
          </w:tcPr>
          <w:p w14:paraId="541C4318" w14:textId="5091406D" w:rsidR="00742C4D" w:rsidRPr="00F177A6" w:rsidRDefault="00742C4D" w:rsidP="00742C4D">
            <w:pPr>
              <w:spacing w:before="120" w:after="120"/>
            </w:pPr>
            <w:r w:rsidRPr="00F177A6">
              <w:t>Panamas Republika</w:t>
            </w:r>
          </w:p>
        </w:tc>
        <w:tc>
          <w:tcPr>
            <w:tcW w:w="3571" w:type="dxa"/>
            <w:vAlign w:val="center"/>
          </w:tcPr>
          <w:p w14:paraId="5B46DE9C" w14:textId="7BD1D068" w:rsidR="00742C4D" w:rsidRPr="00F177A6" w:rsidRDefault="00742C4D" w:rsidP="00742C4D">
            <w:pPr>
              <w:spacing w:before="120" w:after="120"/>
              <w:cnfStyle w:val="000000000000" w:firstRow="0" w:lastRow="0" w:firstColumn="0" w:lastColumn="0" w:oddVBand="0" w:evenVBand="0" w:oddHBand="0" w:evenHBand="0" w:firstRowFirstColumn="0" w:firstRowLastColumn="0" w:lastRowFirstColumn="0" w:lastRowLastColumn="0"/>
            </w:pPr>
            <w:proofErr w:type="spellStart"/>
            <w:r w:rsidRPr="00F177A6">
              <w:t>Republic</w:t>
            </w:r>
            <w:proofErr w:type="spellEnd"/>
            <w:r w:rsidRPr="00F177A6">
              <w:t xml:space="preserve"> </w:t>
            </w:r>
            <w:proofErr w:type="spellStart"/>
            <w:r w:rsidRPr="00F177A6">
              <w:t>of</w:t>
            </w:r>
            <w:proofErr w:type="spellEnd"/>
            <w:r w:rsidRPr="00F177A6">
              <w:t xml:space="preserve"> Panama</w:t>
            </w:r>
          </w:p>
        </w:tc>
        <w:tc>
          <w:tcPr>
            <w:tcW w:w="4348" w:type="dxa"/>
            <w:vAlign w:val="center"/>
          </w:tcPr>
          <w:p w14:paraId="48D70048" w14:textId="09A6C4B2" w:rsidR="00742C4D" w:rsidRPr="00F177A6" w:rsidRDefault="00742C4D" w:rsidP="00742C4D">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2835" w:type="dxa"/>
            <w:vAlign w:val="center"/>
          </w:tcPr>
          <w:p w14:paraId="7B329C6D" w14:textId="3CFAF3D0" w:rsidR="00742C4D" w:rsidRPr="001B44B8" w:rsidRDefault="00742C4D" w:rsidP="00742C4D">
            <w:pPr>
              <w:spacing w:before="120" w:after="120"/>
              <w:cnfStyle w:val="000000000000" w:firstRow="0" w:lastRow="0" w:firstColumn="0" w:lastColumn="0" w:oddVBand="0" w:evenVBand="0" w:oddHBand="0" w:evenHBand="0" w:firstRowFirstColumn="0" w:firstRowLastColumn="0" w:lastRowFirstColumn="0" w:lastRowLastColumn="0"/>
            </w:pPr>
            <w:proofErr w:type="spellStart"/>
            <w:r w:rsidRPr="007A6F8E">
              <w:t>Republic</w:t>
            </w:r>
            <w:proofErr w:type="spellEnd"/>
            <w:r w:rsidRPr="007A6F8E">
              <w:t xml:space="preserve"> </w:t>
            </w:r>
            <w:proofErr w:type="spellStart"/>
            <w:r w:rsidRPr="007A6F8E">
              <w:t>of</w:t>
            </w:r>
            <w:proofErr w:type="spellEnd"/>
            <w:r w:rsidRPr="007A6F8E">
              <w:t xml:space="preserve"> Panama</w:t>
            </w:r>
          </w:p>
        </w:tc>
      </w:tr>
      <w:tr w:rsidR="00AC0D62" w:rsidRPr="001B44B8" w14:paraId="03B5BE80" w14:textId="77777777" w:rsidTr="00F21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8" w:type="dxa"/>
            <w:vAlign w:val="center"/>
          </w:tcPr>
          <w:p w14:paraId="71C66A09" w14:textId="3012728C" w:rsidR="00AC0D62" w:rsidRPr="00F177A6" w:rsidRDefault="00AC0D62" w:rsidP="00AC0D62">
            <w:pPr>
              <w:spacing w:before="120" w:after="120"/>
            </w:pPr>
            <w:r w:rsidRPr="00F177A6">
              <w:t>Samoa Neatkarīgā Valsts</w:t>
            </w:r>
          </w:p>
        </w:tc>
        <w:tc>
          <w:tcPr>
            <w:tcW w:w="3571" w:type="dxa"/>
            <w:vAlign w:val="center"/>
          </w:tcPr>
          <w:p w14:paraId="63DED028" w14:textId="6907F6C1" w:rsidR="00AC0D62" w:rsidRPr="00F177A6" w:rsidRDefault="00AC0D62" w:rsidP="00AC0D62">
            <w:pPr>
              <w:spacing w:before="120" w:after="120"/>
              <w:cnfStyle w:val="000000100000" w:firstRow="0" w:lastRow="0" w:firstColumn="0" w:lastColumn="0" w:oddVBand="0" w:evenVBand="0" w:oddHBand="1" w:evenHBand="0" w:firstRowFirstColumn="0" w:firstRowLastColumn="0" w:lastRowFirstColumn="0" w:lastRowLastColumn="0"/>
            </w:pPr>
            <w:proofErr w:type="spellStart"/>
            <w:r w:rsidRPr="00F177A6">
              <w:t>Independent</w:t>
            </w:r>
            <w:proofErr w:type="spellEnd"/>
            <w:r w:rsidRPr="00F177A6">
              <w:t xml:space="preserve"> </w:t>
            </w:r>
            <w:proofErr w:type="spellStart"/>
            <w:r w:rsidRPr="00F177A6">
              <w:t>State</w:t>
            </w:r>
            <w:proofErr w:type="spellEnd"/>
            <w:r w:rsidRPr="00F177A6">
              <w:t xml:space="preserve"> </w:t>
            </w:r>
            <w:proofErr w:type="spellStart"/>
            <w:r w:rsidRPr="00F177A6">
              <w:t>of</w:t>
            </w:r>
            <w:proofErr w:type="spellEnd"/>
            <w:r w:rsidRPr="00F177A6">
              <w:t xml:space="preserve"> Samoa</w:t>
            </w:r>
          </w:p>
        </w:tc>
        <w:tc>
          <w:tcPr>
            <w:tcW w:w="4348" w:type="dxa"/>
            <w:vAlign w:val="center"/>
          </w:tcPr>
          <w:p w14:paraId="75E47627" w14:textId="4CB52740" w:rsidR="00AC0D62" w:rsidRPr="00F177A6" w:rsidRDefault="00AC0D62" w:rsidP="00AC0D62">
            <w:pPr>
              <w:cnfStyle w:val="000000100000" w:firstRow="0" w:lastRow="0" w:firstColumn="0" w:lastColumn="0" w:oddVBand="0" w:evenVBand="0" w:oddHBand="1" w:evenHBand="0" w:firstRowFirstColumn="0" w:firstRowLastColumn="0" w:lastRowFirstColumn="0" w:lastRowLastColumn="0"/>
              <w:rPr>
                <w:lang w:val="fi-FI"/>
              </w:rPr>
            </w:pPr>
            <w:r w:rsidRPr="00F177A6">
              <w:t>ES Ekonomisko partnerattiecību nolīgums ar COTONOU valstīm</w:t>
            </w:r>
          </w:p>
        </w:tc>
        <w:tc>
          <w:tcPr>
            <w:tcW w:w="2835" w:type="dxa"/>
            <w:vAlign w:val="center"/>
          </w:tcPr>
          <w:p w14:paraId="5895BE63" w14:textId="77777777" w:rsidR="00AC0D62" w:rsidRPr="001B44B8" w:rsidRDefault="00AC0D62" w:rsidP="00AC0D62">
            <w:pPr>
              <w:spacing w:before="120" w:after="120"/>
              <w:cnfStyle w:val="000000100000" w:firstRow="0" w:lastRow="0" w:firstColumn="0" w:lastColumn="0" w:oddVBand="0" w:evenVBand="0" w:oddHBand="1" w:evenHBand="0" w:firstRowFirstColumn="0" w:firstRowLastColumn="0" w:lastRowFirstColumn="0" w:lastRowLastColumn="0"/>
            </w:pPr>
          </w:p>
        </w:tc>
      </w:tr>
      <w:tr w:rsidR="00AC0D62" w:rsidRPr="001B44B8" w14:paraId="24D1D191" w14:textId="77777777" w:rsidTr="00F2149B">
        <w:tc>
          <w:tcPr>
            <w:cnfStyle w:val="001000000000" w:firstRow="0" w:lastRow="0" w:firstColumn="1" w:lastColumn="0" w:oddVBand="0" w:evenVBand="0" w:oddHBand="0" w:evenHBand="0" w:firstRowFirstColumn="0" w:firstRowLastColumn="0" w:lastRowFirstColumn="0" w:lastRowLastColumn="0"/>
            <w:tcW w:w="4578" w:type="dxa"/>
            <w:vAlign w:val="center"/>
          </w:tcPr>
          <w:p w14:paraId="5AB947C1" w14:textId="1456FC56" w:rsidR="00AC0D62" w:rsidRPr="00F177A6" w:rsidRDefault="00AC0D62" w:rsidP="00AC0D62">
            <w:pPr>
              <w:spacing w:before="120" w:after="120"/>
            </w:pPr>
            <w:r w:rsidRPr="00F177A6">
              <w:t>Seišelu Salu Republika</w:t>
            </w:r>
          </w:p>
        </w:tc>
        <w:tc>
          <w:tcPr>
            <w:tcW w:w="3571" w:type="dxa"/>
            <w:vAlign w:val="center"/>
          </w:tcPr>
          <w:p w14:paraId="11028B7C" w14:textId="2673670D" w:rsidR="00AC0D62" w:rsidRPr="00F177A6" w:rsidRDefault="00AC0D62" w:rsidP="00AC0D62">
            <w:pPr>
              <w:spacing w:before="120" w:after="120"/>
              <w:cnfStyle w:val="000000000000" w:firstRow="0" w:lastRow="0" w:firstColumn="0" w:lastColumn="0" w:oddVBand="0" w:evenVBand="0" w:oddHBand="0" w:evenHBand="0" w:firstRowFirstColumn="0" w:firstRowLastColumn="0" w:lastRowFirstColumn="0" w:lastRowLastColumn="0"/>
            </w:pPr>
            <w:proofErr w:type="spellStart"/>
            <w:r w:rsidRPr="00F177A6">
              <w:t>Republic</w:t>
            </w:r>
            <w:proofErr w:type="spellEnd"/>
            <w:r w:rsidRPr="00F177A6">
              <w:t xml:space="preserve"> </w:t>
            </w:r>
            <w:proofErr w:type="spellStart"/>
            <w:r w:rsidRPr="00F177A6">
              <w:t>of</w:t>
            </w:r>
            <w:proofErr w:type="spellEnd"/>
            <w:r w:rsidRPr="00F177A6">
              <w:t xml:space="preserve"> </w:t>
            </w:r>
            <w:proofErr w:type="spellStart"/>
            <w:r w:rsidRPr="00F177A6">
              <w:t>Seychelles</w:t>
            </w:r>
            <w:proofErr w:type="spellEnd"/>
          </w:p>
        </w:tc>
        <w:tc>
          <w:tcPr>
            <w:tcW w:w="4348" w:type="dxa"/>
            <w:vAlign w:val="center"/>
          </w:tcPr>
          <w:p w14:paraId="29ADDBC1" w14:textId="25D21987" w:rsidR="00AC0D62" w:rsidRPr="00F177A6" w:rsidRDefault="00AC0D62" w:rsidP="00AC0D62">
            <w:pPr>
              <w:cnfStyle w:val="000000000000" w:firstRow="0" w:lastRow="0" w:firstColumn="0" w:lastColumn="0" w:oddVBand="0" w:evenVBand="0" w:oddHBand="0" w:evenHBand="0" w:firstRowFirstColumn="0" w:firstRowLastColumn="0" w:lastRowFirstColumn="0" w:lastRowLastColumn="0"/>
              <w:rPr>
                <w:lang w:val="fi-FI"/>
              </w:rPr>
            </w:pPr>
            <w:r w:rsidRPr="00F177A6">
              <w:t>ES Ekonomisko partnerattiecību nolīgums ar COTONOU valstīm</w:t>
            </w:r>
          </w:p>
        </w:tc>
        <w:tc>
          <w:tcPr>
            <w:tcW w:w="2835" w:type="dxa"/>
            <w:vAlign w:val="center"/>
          </w:tcPr>
          <w:p w14:paraId="0DD44E70" w14:textId="77777777" w:rsidR="00AC0D62" w:rsidRPr="001B44B8" w:rsidRDefault="00AC0D62" w:rsidP="00AC0D62">
            <w:pPr>
              <w:spacing w:before="120" w:after="120"/>
              <w:cnfStyle w:val="000000000000" w:firstRow="0" w:lastRow="0" w:firstColumn="0" w:lastColumn="0" w:oddVBand="0" w:evenVBand="0" w:oddHBand="0" w:evenHBand="0" w:firstRowFirstColumn="0" w:firstRowLastColumn="0" w:lastRowFirstColumn="0" w:lastRowLastColumn="0"/>
            </w:pPr>
          </w:p>
        </w:tc>
      </w:tr>
      <w:tr w:rsidR="00742C4D" w:rsidRPr="001B44B8" w14:paraId="1FCA7F62" w14:textId="77777777" w:rsidTr="00F21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8" w:type="dxa"/>
            <w:vAlign w:val="center"/>
          </w:tcPr>
          <w:p w14:paraId="494C46A3" w14:textId="49317915" w:rsidR="00742C4D" w:rsidRPr="00F177A6" w:rsidRDefault="00742C4D" w:rsidP="00742C4D">
            <w:pPr>
              <w:spacing w:before="120" w:after="120"/>
            </w:pPr>
            <w:r w:rsidRPr="00F177A6">
              <w:t>Trinidādas un Tobāgo Republika</w:t>
            </w:r>
          </w:p>
        </w:tc>
        <w:tc>
          <w:tcPr>
            <w:tcW w:w="3571" w:type="dxa"/>
            <w:vAlign w:val="center"/>
          </w:tcPr>
          <w:p w14:paraId="0E3EAD1D" w14:textId="1D9D54B3" w:rsidR="00742C4D" w:rsidRPr="00F177A6" w:rsidRDefault="00742C4D" w:rsidP="00742C4D">
            <w:pPr>
              <w:spacing w:before="120" w:after="120"/>
              <w:cnfStyle w:val="000000100000" w:firstRow="0" w:lastRow="0" w:firstColumn="0" w:lastColumn="0" w:oddVBand="0" w:evenVBand="0" w:oddHBand="1" w:evenHBand="0" w:firstRowFirstColumn="0" w:firstRowLastColumn="0" w:lastRowFirstColumn="0" w:lastRowLastColumn="0"/>
            </w:pPr>
            <w:proofErr w:type="spellStart"/>
            <w:r w:rsidRPr="00F177A6">
              <w:t>Republic</w:t>
            </w:r>
            <w:proofErr w:type="spellEnd"/>
            <w:r w:rsidRPr="00F177A6">
              <w:t xml:space="preserve"> </w:t>
            </w:r>
            <w:proofErr w:type="spellStart"/>
            <w:r w:rsidRPr="00F177A6">
              <w:t>of</w:t>
            </w:r>
            <w:proofErr w:type="spellEnd"/>
            <w:r w:rsidRPr="00F177A6">
              <w:t xml:space="preserve"> </w:t>
            </w:r>
            <w:proofErr w:type="spellStart"/>
            <w:r w:rsidRPr="00F177A6">
              <w:t>Trinidad</w:t>
            </w:r>
            <w:proofErr w:type="spellEnd"/>
            <w:r w:rsidRPr="00F177A6">
              <w:t xml:space="preserve"> </w:t>
            </w:r>
            <w:proofErr w:type="spellStart"/>
            <w:r w:rsidRPr="00F177A6">
              <w:t>and</w:t>
            </w:r>
            <w:proofErr w:type="spellEnd"/>
            <w:r w:rsidRPr="00F177A6">
              <w:t xml:space="preserve"> Tobago</w:t>
            </w:r>
          </w:p>
        </w:tc>
        <w:tc>
          <w:tcPr>
            <w:tcW w:w="4348" w:type="dxa"/>
            <w:vAlign w:val="center"/>
          </w:tcPr>
          <w:p w14:paraId="1583F978" w14:textId="63507617" w:rsidR="00742C4D" w:rsidRPr="00F177A6" w:rsidRDefault="00742C4D" w:rsidP="00742C4D">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F177A6">
              <w:t>ES Ekonomisko partnerattiecību nolīgums ar CARIFORUM valstīm</w:t>
            </w:r>
          </w:p>
        </w:tc>
        <w:tc>
          <w:tcPr>
            <w:tcW w:w="2835" w:type="dxa"/>
            <w:vAlign w:val="center"/>
          </w:tcPr>
          <w:p w14:paraId="03063276" w14:textId="183D6E98" w:rsidR="00742C4D" w:rsidRPr="001B44B8" w:rsidRDefault="00742C4D" w:rsidP="00742C4D">
            <w:pPr>
              <w:spacing w:before="120" w:after="120"/>
              <w:cnfStyle w:val="000000100000" w:firstRow="0" w:lastRow="0" w:firstColumn="0" w:lastColumn="0" w:oddVBand="0" w:evenVBand="0" w:oddHBand="1" w:evenHBand="0" w:firstRowFirstColumn="0" w:firstRowLastColumn="0" w:lastRowFirstColumn="0" w:lastRowLastColumn="0"/>
            </w:pPr>
            <w:r w:rsidRPr="006A6C4F">
              <w:t>–</w:t>
            </w:r>
          </w:p>
        </w:tc>
      </w:tr>
      <w:tr w:rsidR="00742C4D" w:rsidRPr="00766141" w14:paraId="1E4859F3" w14:textId="77777777" w:rsidTr="00F2149B">
        <w:tc>
          <w:tcPr>
            <w:cnfStyle w:val="001000000000" w:firstRow="0" w:lastRow="0" w:firstColumn="1" w:lastColumn="0" w:oddVBand="0" w:evenVBand="0" w:oddHBand="0" w:evenHBand="0" w:firstRowFirstColumn="0" w:firstRowLastColumn="0" w:lastRowFirstColumn="0" w:lastRowLastColumn="0"/>
            <w:tcW w:w="4578" w:type="dxa"/>
            <w:vAlign w:val="center"/>
          </w:tcPr>
          <w:p w14:paraId="1E4A2533" w14:textId="77777777" w:rsidR="00742C4D" w:rsidRPr="00F177A6" w:rsidRDefault="00742C4D" w:rsidP="00742C4D">
            <w:pPr>
              <w:spacing w:before="120" w:after="120"/>
            </w:pPr>
            <w:r w:rsidRPr="00F177A6">
              <w:t>Vanuatu Republika</w:t>
            </w:r>
          </w:p>
        </w:tc>
        <w:tc>
          <w:tcPr>
            <w:tcW w:w="3571" w:type="dxa"/>
            <w:vAlign w:val="center"/>
          </w:tcPr>
          <w:p w14:paraId="1D81CC74" w14:textId="77777777" w:rsidR="00742C4D" w:rsidRPr="00F177A6" w:rsidRDefault="00742C4D" w:rsidP="00742C4D">
            <w:pPr>
              <w:spacing w:before="120" w:after="120"/>
              <w:cnfStyle w:val="000000000000" w:firstRow="0" w:lastRow="0" w:firstColumn="0" w:lastColumn="0" w:oddVBand="0" w:evenVBand="0" w:oddHBand="0" w:evenHBand="0" w:firstRowFirstColumn="0" w:firstRowLastColumn="0" w:lastRowFirstColumn="0" w:lastRowLastColumn="0"/>
            </w:pPr>
            <w:proofErr w:type="spellStart"/>
            <w:r w:rsidRPr="00F177A6">
              <w:t>The</w:t>
            </w:r>
            <w:proofErr w:type="spellEnd"/>
            <w:r w:rsidRPr="00F177A6">
              <w:t xml:space="preserve"> </w:t>
            </w:r>
            <w:proofErr w:type="spellStart"/>
            <w:r w:rsidRPr="00F177A6">
              <w:t>Republic</w:t>
            </w:r>
            <w:proofErr w:type="spellEnd"/>
            <w:r w:rsidRPr="00F177A6">
              <w:t xml:space="preserve"> </w:t>
            </w:r>
            <w:proofErr w:type="spellStart"/>
            <w:r w:rsidRPr="00F177A6">
              <w:t>of</w:t>
            </w:r>
            <w:proofErr w:type="spellEnd"/>
            <w:r w:rsidRPr="00F177A6">
              <w:t xml:space="preserve"> Vanuatu</w:t>
            </w:r>
          </w:p>
        </w:tc>
        <w:tc>
          <w:tcPr>
            <w:tcW w:w="4348" w:type="dxa"/>
            <w:vAlign w:val="center"/>
          </w:tcPr>
          <w:p w14:paraId="178D3717" w14:textId="77777777" w:rsidR="00742C4D" w:rsidRPr="00F177A6" w:rsidRDefault="00742C4D" w:rsidP="00742C4D">
            <w:pPr>
              <w:spacing w:before="60" w:after="60"/>
              <w:cnfStyle w:val="000000000000" w:firstRow="0" w:lastRow="0" w:firstColumn="0" w:lastColumn="0" w:oddVBand="0" w:evenVBand="0" w:oddHBand="0" w:evenHBand="0" w:firstRowFirstColumn="0" w:firstRowLastColumn="0" w:lastRowFirstColumn="0" w:lastRowLastColumn="0"/>
            </w:pPr>
            <w:r w:rsidRPr="00F177A6">
              <w:t>OECD Konvencija par savstarpējo administratīvo palīdzību nodokļu lietās</w:t>
            </w:r>
          </w:p>
        </w:tc>
        <w:tc>
          <w:tcPr>
            <w:tcW w:w="2835" w:type="dxa"/>
            <w:vAlign w:val="center"/>
          </w:tcPr>
          <w:p w14:paraId="1F8722A2" w14:textId="77777777" w:rsidR="00742C4D" w:rsidRPr="00766141" w:rsidRDefault="00742C4D" w:rsidP="00742C4D">
            <w:pPr>
              <w:spacing w:before="120" w:after="120"/>
              <w:cnfStyle w:val="000000000000" w:firstRow="0" w:lastRow="0" w:firstColumn="0" w:lastColumn="0" w:oddVBand="0" w:evenVBand="0" w:oddHBand="0" w:evenHBand="0" w:firstRowFirstColumn="0" w:firstRowLastColumn="0" w:lastRowFirstColumn="0" w:lastRowLastColumn="0"/>
              <w:rPr>
                <w:color w:val="70AD47" w:themeColor="accent6"/>
              </w:rPr>
            </w:pPr>
            <w:r w:rsidRPr="001B44B8">
              <w:t>–</w:t>
            </w:r>
          </w:p>
        </w:tc>
      </w:tr>
    </w:tbl>
    <w:p w14:paraId="144EBD2F" w14:textId="0DBF7000" w:rsidR="000255F4" w:rsidRPr="000255F4" w:rsidRDefault="000255F4" w:rsidP="00D60B0B">
      <w:pPr>
        <w:rPr>
          <w:lang w:val="en-GB"/>
        </w:rPr>
      </w:pPr>
    </w:p>
    <w:sectPr w:rsidR="000255F4" w:rsidRPr="000255F4" w:rsidSect="00D60B0B">
      <w:headerReference w:type="default" r:id="rId7"/>
      <w:headerReference w:type="first" r:id="rId8"/>
      <w:pgSz w:w="16838" w:h="11906" w:orient="landscape"/>
      <w:pgMar w:top="284" w:right="720" w:bottom="284" w:left="720" w:header="27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DD9C9" w14:textId="77777777" w:rsidR="00667A03" w:rsidRDefault="00667A03" w:rsidP="00286E26">
      <w:r>
        <w:separator/>
      </w:r>
    </w:p>
  </w:endnote>
  <w:endnote w:type="continuationSeparator" w:id="0">
    <w:p w14:paraId="410517F3" w14:textId="77777777" w:rsidR="00667A03" w:rsidRDefault="00667A03" w:rsidP="0028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70163" w14:textId="77777777" w:rsidR="00667A03" w:rsidRDefault="00667A03" w:rsidP="00286E26">
      <w:r>
        <w:separator/>
      </w:r>
    </w:p>
  </w:footnote>
  <w:footnote w:type="continuationSeparator" w:id="0">
    <w:p w14:paraId="210417E4" w14:textId="77777777" w:rsidR="00667A03" w:rsidRDefault="00667A03" w:rsidP="00286E26">
      <w:r>
        <w:continuationSeparator/>
      </w:r>
    </w:p>
  </w:footnote>
  <w:footnote w:id="1">
    <w:p w14:paraId="14F1F4F5" w14:textId="5E102ADA" w:rsidR="00F177A6" w:rsidRPr="00F177A6" w:rsidRDefault="00F177A6" w:rsidP="00F177A6">
      <w:pPr>
        <w:rPr>
          <w:b/>
          <w:bCs/>
        </w:rPr>
      </w:pPr>
      <w:r>
        <w:rPr>
          <w:rStyle w:val="FootnoteReference"/>
        </w:rPr>
        <w:footnoteRef/>
      </w:r>
      <w:r>
        <w:t xml:space="preserve"> </w:t>
      </w:r>
      <w:r w:rsidRPr="00E33C48">
        <w:rPr>
          <w:b/>
          <w:bCs/>
        </w:rPr>
        <w:t>Ministru kabineta 2020. gada 17. decembra noteikumi Nr. 819 "</w:t>
      </w:r>
      <w:hyperlink r:id="rId1" w:history="1">
        <w:r w:rsidRPr="00E33C48">
          <w:rPr>
            <w:rStyle w:val="Hyperlink"/>
            <w:b/>
            <w:bCs/>
          </w:rPr>
          <w:t>Noteikumi par zemu nodokļu vai beznodokļu valstīm un teritorijām</w:t>
        </w:r>
      </w:hyperlink>
      <w:r w:rsidRPr="00E33C48">
        <w:rPr>
          <w:b/>
          <w:bCs/>
        </w:rPr>
        <w:t xml:space="preserve">" </w:t>
      </w:r>
    </w:p>
  </w:footnote>
  <w:footnote w:id="2">
    <w:p w14:paraId="39F854CA" w14:textId="26166A87" w:rsidR="00F177A6" w:rsidRPr="00F177A6" w:rsidRDefault="00F177A6" w:rsidP="00F177A6">
      <w:pPr>
        <w:rPr>
          <w:b/>
          <w:bCs/>
        </w:rPr>
      </w:pPr>
      <w:r>
        <w:rPr>
          <w:rStyle w:val="FootnoteReference"/>
        </w:rPr>
        <w:footnoteRef/>
      </w:r>
      <w:r>
        <w:t xml:space="preserve"> </w:t>
      </w:r>
      <w:r w:rsidRPr="001B44B8">
        <w:rPr>
          <w:b/>
          <w:bCs/>
        </w:rPr>
        <w:t xml:space="preserve">Publisko iepirkumu likuma </w:t>
      </w:r>
      <w:hyperlink r:id="rId2" w:anchor="p-655352" w:history="1">
        <w:r w:rsidRPr="001B44B8">
          <w:rPr>
            <w:rStyle w:val="Hyperlink"/>
            <w:b/>
            <w:bCs/>
          </w:rPr>
          <w:t>1.panta 3.¹ punkts</w:t>
        </w:r>
      </w:hyperlink>
      <w:r w:rsidRPr="001B44B8">
        <w:rPr>
          <w:b/>
          <w:bCs/>
        </w:rPr>
        <w:t>, atbilstoši kuram, ja konstatē atbilstību, izslēdz pretendentu vai kandidātu</w:t>
      </w:r>
    </w:p>
  </w:footnote>
  <w:footnote w:id="3">
    <w:p w14:paraId="248D1CE2" w14:textId="1E9DE68E" w:rsidR="00AC0D62" w:rsidRPr="00F177A6" w:rsidRDefault="00AC0D62">
      <w:pPr>
        <w:pStyle w:val="FootnoteText"/>
      </w:pPr>
      <w:r>
        <w:rPr>
          <w:rStyle w:val="FootnoteReference"/>
        </w:rPr>
        <w:footnoteRef/>
      </w:r>
      <w:r>
        <w:t xml:space="preserve"> </w:t>
      </w:r>
      <w:hyperlink r:id="rId3" w:history="1">
        <w:r>
          <w:rPr>
            <w:rStyle w:val="Hyperlink"/>
          </w:rPr>
          <w:t>Ekonomisko partnerattiecību nolīgums starp CARIFORUM valstīm, no vienas puses, un Eiropas Kopienu un tās dalībvalstīm, no otras puses (likumi.lv)</w:t>
        </w:r>
      </w:hyperlink>
      <w:r>
        <w:t xml:space="preserve"> </w:t>
      </w:r>
    </w:p>
  </w:footnote>
  <w:footnote w:id="4">
    <w:p w14:paraId="38CC1C5D" w14:textId="39553C2D" w:rsidR="00F177A6" w:rsidRPr="0048141D" w:rsidRDefault="00F177A6">
      <w:pPr>
        <w:pStyle w:val="FootnoteText"/>
      </w:pPr>
      <w:r>
        <w:rPr>
          <w:rStyle w:val="FootnoteReference"/>
        </w:rPr>
        <w:footnoteRef/>
      </w:r>
      <w:r>
        <w:t xml:space="preserve"> </w:t>
      </w:r>
      <w:hyperlink r:id="rId4" w:history="1">
        <w:r>
          <w:rPr>
            <w:rStyle w:val="Hyperlink"/>
          </w:rPr>
          <w:t>Nolīgums, ar kuru otro reizi groza partnerattiecību nolīgumu starp Āfrikas, Karību jūras reģiona un Klusā okeāna valstu grupas locekļiem, no vienas puses, un Eiropas Kopienu un tās dalībvalstīm, no otras puses, kas parakstīts Kotonū 2000. gada 23. jūnijā un pirmo reizi grozīts Luksemburgā 2005. gada 25. jūnijā (likumi.lv)</w:t>
        </w:r>
      </w:hyperlink>
      <w:r w:rsidR="00D60B0B">
        <w:t xml:space="preserve"> (sekot līdzi </w:t>
      </w:r>
      <w:hyperlink r:id="rId5" w:history="1">
        <w:proofErr w:type="spellStart"/>
        <w:r w:rsidR="00D60B0B">
          <w:rPr>
            <w:rStyle w:val="Hyperlink"/>
          </w:rPr>
          <w:t>Cotonou</w:t>
        </w:r>
        <w:proofErr w:type="spellEnd"/>
        <w:r w:rsidR="00D60B0B">
          <w:rPr>
            <w:rStyle w:val="Hyperlink"/>
          </w:rPr>
          <w:t xml:space="preserve"> </w:t>
        </w:r>
        <w:proofErr w:type="spellStart"/>
        <w:r w:rsidR="00D60B0B">
          <w:rPr>
            <w:rStyle w:val="Hyperlink"/>
          </w:rPr>
          <w:t>Agreement</w:t>
        </w:r>
        <w:proofErr w:type="spellEnd"/>
        <w:r w:rsidR="00D60B0B">
          <w:rPr>
            <w:rStyle w:val="Hyperlink"/>
          </w:rPr>
          <w:t xml:space="preserve"> - </w:t>
        </w:r>
        <w:proofErr w:type="spellStart"/>
        <w:r w:rsidR="00D60B0B">
          <w:rPr>
            <w:rStyle w:val="Hyperlink"/>
          </w:rPr>
          <w:t>Consilium</w:t>
        </w:r>
        <w:proofErr w:type="spellEnd"/>
        <w:r w:rsidR="00D60B0B">
          <w:rPr>
            <w:rStyle w:val="Hyperlink"/>
          </w:rPr>
          <w:t xml:space="preserve"> (europa.eu)</w:t>
        </w:r>
      </w:hyperlink>
      <w:r w:rsidR="00D60B0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44ED1" w14:textId="0EE4F36D" w:rsidR="00286E26" w:rsidRDefault="00286E26" w:rsidP="00286E2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B0F12" w14:textId="10E48AB4" w:rsidR="00C81D3E" w:rsidRDefault="00C81D3E" w:rsidP="00F177A6">
    <w:pPr>
      <w:pStyle w:val="Header"/>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26"/>
    <w:rsid w:val="000255F4"/>
    <w:rsid w:val="00071A68"/>
    <w:rsid w:val="000C0D14"/>
    <w:rsid w:val="001902C0"/>
    <w:rsid w:val="001B44A3"/>
    <w:rsid w:val="001B44B8"/>
    <w:rsid w:val="001B55DA"/>
    <w:rsid w:val="00286E26"/>
    <w:rsid w:val="003427BB"/>
    <w:rsid w:val="00395714"/>
    <w:rsid w:val="003B6042"/>
    <w:rsid w:val="003C5DF9"/>
    <w:rsid w:val="003D223C"/>
    <w:rsid w:val="00447045"/>
    <w:rsid w:val="0048141D"/>
    <w:rsid w:val="004B59A5"/>
    <w:rsid w:val="005273FF"/>
    <w:rsid w:val="005652CF"/>
    <w:rsid w:val="005C2183"/>
    <w:rsid w:val="005D6278"/>
    <w:rsid w:val="00627105"/>
    <w:rsid w:val="0064624A"/>
    <w:rsid w:val="00667A03"/>
    <w:rsid w:val="00700505"/>
    <w:rsid w:val="00742C4D"/>
    <w:rsid w:val="00766141"/>
    <w:rsid w:val="007A6F8E"/>
    <w:rsid w:val="007E0242"/>
    <w:rsid w:val="007F7690"/>
    <w:rsid w:val="008478EA"/>
    <w:rsid w:val="00861C98"/>
    <w:rsid w:val="00944893"/>
    <w:rsid w:val="00A73182"/>
    <w:rsid w:val="00A75380"/>
    <w:rsid w:val="00A84016"/>
    <w:rsid w:val="00A87170"/>
    <w:rsid w:val="00AA2F49"/>
    <w:rsid w:val="00AB7B98"/>
    <w:rsid w:val="00AC0D62"/>
    <w:rsid w:val="00AD5234"/>
    <w:rsid w:val="00B33A9C"/>
    <w:rsid w:val="00B64BB7"/>
    <w:rsid w:val="00B7344D"/>
    <w:rsid w:val="00B73CE8"/>
    <w:rsid w:val="00BB1A52"/>
    <w:rsid w:val="00C81D3E"/>
    <w:rsid w:val="00D26D6C"/>
    <w:rsid w:val="00D329C5"/>
    <w:rsid w:val="00D60B0B"/>
    <w:rsid w:val="00DA1FA2"/>
    <w:rsid w:val="00DB1EFB"/>
    <w:rsid w:val="00DB7760"/>
    <w:rsid w:val="00DB7C59"/>
    <w:rsid w:val="00E33C48"/>
    <w:rsid w:val="00E94AE5"/>
    <w:rsid w:val="00EC55D2"/>
    <w:rsid w:val="00EE0CB7"/>
    <w:rsid w:val="00EF21CE"/>
    <w:rsid w:val="00F16637"/>
    <w:rsid w:val="00F177A6"/>
    <w:rsid w:val="00F2149B"/>
    <w:rsid w:val="00F42D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CE480"/>
  <w15:chartTrackingRefBased/>
  <w15:docId w15:val="{30126E15-B02D-4F4B-BC8C-F8D22783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5D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42C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27105"/>
    <w:pPr>
      <w:spacing w:before="100" w:beforeAutospacing="1" w:after="100" w:afterAutospacing="1"/>
      <w:outlineLvl w:val="2"/>
    </w:pPr>
    <w:rPr>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E26"/>
    <w:pPr>
      <w:tabs>
        <w:tab w:val="center" w:pos="4153"/>
        <w:tab w:val="right" w:pos="8306"/>
      </w:tabs>
    </w:pPr>
  </w:style>
  <w:style w:type="character" w:customStyle="1" w:styleId="HeaderChar">
    <w:name w:val="Header Char"/>
    <w:basedOn w:val="DefaultParagraphFont"/>
    <w:link w:val="Header"/>
    <w:uiPriority w:val="99"/>
    <w:rsid w:val="00286E26"/>
  </w:style>
  <w:style w:type="paragraph" w:styleId="Footer">
    <w:name w:val="footer"/>
    <w:basedOn w:val="Normal"/>
    <w:link w:val="FooterChar"/>
    <w:uiPriority w:val="99"/>
    <w:unhideWhenUsed/>
    <w:rsid w:val="00286E26"/>
    <w:pPr>
      <w:tabs>
        <w:tab w:val="center" w:pos="4153"/>
        <w:tab w:val="right" w:pos="8306"/>
      </w:tabs>
    </w:pPr>
  </w:style>
  <w:style w:type="character" w:customStyle="1" w:styleId="FooterChar">
    <w:name w:val="Footer Char"/>
    <w:basedOn w:val="DefaultParagraphFont"/>
    <w:link w:val="Footer"/>
    <w:uiPriority w:val="99"/>
    <w:rsid w:val="00286E26"/>
  </w:style>
  <w:style w:type="table" w:styleId="TableGrid">
    <w:name w:val="Table Grid"/>
    <w:basedOn w:val="TableNormal"/>
    <w:uiPriority w:val="39"/>
    <w:rsid w:val="00286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7760"/>
    <w:rPr>
      <w:color w:val="0563C1" w:themeColor="hyperlink"/>
      <w:u w:val="single"/>
    </w:rPr>
  </w:style>
  <w:style w:type="character" w:styleId="UnresolvedMention">
    <w:name w:val="Unresolved Mention"/>
    <w:basedOn w:val="DefaultParagraphFont"/>
    <w:uiPriority w:val="99"/>
    <w:semiHidden/>
    <w:unhideWhenUsed/>
    <w:rsid w:val="00DB7760"/>
    <w:rPr>
      <w:color w:val="605E5C"/>
      <w:shd w:val="clear" w:color="auto" w:fill="E1DFDD"/>
    </w:rPr>
  </w:style>
  <w:style w:type="table" w:styleId="GridTable4-Accent1">
    <w:name w:val="Grid Table 4 Accent 1"/>
    <w:basedOn w:val="TableNormal"/>
    <w:uiPriority w:val="49"/>
    <w:rsid w:val="001B44B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B64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B7"/>
    <w:rPr>
      <w:rFonts w:ascii="Segoe UI" w:hAnsi="Segoe UI" w:cs="Segoe UI"/>
      <w:sz w:val="18"/>
      <w:szCs w:val="18"/>
    </w:rPr>
  </w:style>
  <w:style w:type="character" w:styleId="CommentReference">
    <w:name w:val="annotation reference"/>
    <w:basedOn w:val="DefaultParagraphFont"/>
    <w:uiPriority w:val="99"/>
    <w:semiHidden/>
    <w:unhideWhenUsed/>
    <w:rsid w:val="005273FF"/>
    <w:rPr>
      <w:sz w:val="16"/>
      <w:szCs w:val="16"/>
    </w:rPr>
  </w:style>
  <w:style w:type="paragraph" w:styleId="CommentText">
    <w:name w:val="annotation text"/>
    <w:basedOn w:val="Normal"/>
    <w:link w:val="CommentTextChar"/>
    <w:uiPriority w:val="99"/>
    <w:semiHidden/>
    <w:unhideWhenUsed/>
    <w:rsid w:val="005273FF"/>
    <w:rPr>
      <w:sz w:val="20"/>
      <w:szCs w:val="20"/>
    </w:rPr>
  </w:style>
  <w:style w:type="character" w:customStyle="1" w:styleId="CommentTextChar">
    <w:name w:val="Comment Text Char"/>
    <w:basedOn w:val="DefaultParagraphFont"/>
    <w:link w:val="CommentText"/>
    <w:uiPriority w:val="99"/>
    <w:semiHidden/>
    <w:rsid w:val="005273FF"/>
    <w:rPr>
      <w:sz w:val="20"/>
      <w:szCs w:val="20"/>
    </w:rPr>
  </w:style>
  <w:style w:type="paragraph" w:styleId="CommentSubject">
    <w:name w:val="annotation subject"/>
    <w:basedOn w:val="CommentText"/>
    <w:next w:val="CommentText"/>
    <w:link w:val="CommentSubjectChar"/>
    <w:uiPriority w:val="99"/>
    <w:semiHidden/>
    <w:unhideWhenUsed/>
    <w:rsid w:val="005273FF"/>
    <w:rPr>
      <w:b/>
      <w:bCs/>
    </w:rPr>
  </w:style>
  <w:style w:type="character" w:customStyle="1" w:styleId="CommentSubjectChar">
    <w:name w:val="Comment Subject Char"/>
    <w:basedOn w:val="CommentTextChar"/>
    <w:link w:val="CommentSubject"/>
    <w:uiPriority w:val="99"/>
    <w:semiHidden/>
    <w:rsid w:val="005273FF"/>
    <w:rPr>
      <w:b/>
      <w:bCs/>
      <w:sz w:val="20"/>
      <w:szCs w:val="20"/>
    </w:rPr>
  </w:style>
  <w:style w:type="paragraph" w:styleId="BodyTextIndent2">
    <w:name w:val="Body Text Indent 2"/>
    <w:basedOn w:val="Normal"/>
    <w:link w:val="BodyTextIndent2Char"/>
    <w:unhideWhenUsed/>
    <w:rsid w:val="00C81D3E"/>
    <w:pPr>
      <w:suppressAutoHyphens/>
      <w:ind w:firstLine="720"/>
      <w:jc w:val="both"/>
    </w:pPr>
    <w:rPr>
      <w:sz w:val="26"/>
      <w:lang w:eastAsia="ar-SA"/>
    </w:rPr>
  </w:style>
  <w:style w:type="character" w:customStyle="1" w:styleId="BodyTextIndent2Char">
    <w:name w:val="Body Text Indent 2 Char"/>
    <w:basedOn w:val="DefaultParagraphFont"/>
    <w:link w:val="BodyTextIndent2"/>
    <w:rsid w:val="00C81D3E"/>
    <w:rPr>
      <w:rFonts w:ascii="Times New Roman" w:eastAsia="Times New Roman" w:hAnsi="Times New Roman" w:cs="Times New Roman"/>
      <w:sz w:val="26"/>
      <w:szCs w:val="24"/>
      <w:lang w:eastAsia="ar-SA"/>
    </w:rPr>
  </w:style>
  <w:style w:type="paragraph" w:customStyle="1" w:styleId="tv213">
    <w:name w:val="tv213"/>
    <w:basedOn w:val="Normal"/>
    <w:rsid w:val="00EC55D2"/>
    <w:pPr>
      <w:spacing w:before="100" w:beforeAutospacing="1" w:after="100" w:afterAutospacing="1"/>
    </w:pPr>
  </w:style>
  <w:style w:type="character" w:styleId="FollowedHyperlink">
    <w:name w:val="FollowedHyperlink"/>
    <w:basedOn w:val="DefaultParagraphFont"/>
    <w:uiPriority w:val="99"/>
    <w:semiHidden/>
    <w:unhideWhenUsed/>
    <w:rsid w:val="00447045"/>
    <w:rPr>
      <w:color w:val="954F72" w:themeColor="followedHyperlink"/>
      <w:u w:val="single"/>
    </w:rPr>
  </w:style>
  <w:style w:type="paragraph" w:styleId="ListParagraph">
    <w:name w:val="List Paragraph"/>
    <w:basedOn w:val="Normal"/>
    <w:uiPriority w:val="34"/>
    <w:qFormat/>
    <w:rsid w:val="00447045"/>
    <w:pPr>
      <w:ind w:left="720"/>
      <w:contextualSpacing/>
    </w:pPr>
  </w:style>
  <w:style w:type="character" w:customStyle="1" w:styleId="Heading3Char">
    <w:name w:val="Heading 3 Char"/>
    <w:basedOn w:val="DefaultParagraphFont"/>
    <w:link w:val="Heading3"/>
    <w:uiPriority w:val="9"/>
    <w:rsid w:val="00627105"/>
    <w:rPr>
      <w:rFonts w:ascii="Times New Roman" w:eastAsia="Times New Roman" w:hAnsi="Times New Roman" w:cs="Times New Roman"/>
      <w:b/>
      <w:bCs/>
      <w:sz w:val="27"/>
      <w:szCs w:val="27"/>
      <w:lang w:val="en-GB" w:eastAsia="en-GB"/>
    </w:rPr>
  </w:style>
  <w:style w:type="character" w:customStyle="1" w:styleId="Heading1Char">
    <w:name w:val="Heading 1 Char"/>
    <w:basedOn w:val="DefaultParagraphFont"/>
    <w:link w:val="Heading1"/>
    <w:uiPriority w:val="9"/>
    <w:rsid w:val="00742C4D"/>
    <w:rPr>
      <w:rFonts w:asciiTheme="majorHAnsi" w:eastAsiaTheme="majorEastAsia" w:hAnsiTheme="majorHAnsi" w:cstheme="majorBidi"/>
      <w:color w:val="2F5496" w:themeColor="accent1" w:themeShade="BF"/>
      <w:sz w:val="32"/>
      <w:szCs w:val="32"/>
      <w:lang w:eastAsia="en-GB"/>
    </w:rPr>
  </w:style>
  <w:style w:type="paragraph" w:styleId="FootnoteText">
    <w:name w:val="footnote text"/>
    <w:basedOn w:val="Normal"/>
    <w:link w:val="FootnoteTextChar"/>
    <w:uiPriority w:val="99"/>
    <w:semiHidden/>
    <w:unhideWhenUsed/>
    <w:rsid w:val="00AC0D62"/>
    <w:rPr>
      <w:sz w:val="20"/>
      <w:szCs w:val="20"/>
    </w:rPr>
  </w:style>
  <w:style w:type="character" w:customStyle="1" w:styleId="FootnoteTextChar">
    <w:name w:val="Footnote Text Char"/>
    <w:basedOn w:val="DefaultParagraphFont"/>
    <w:link w:val="FootnoteText"/>
    <w:uiPriority w:val="99"/>
    <w:semiHidden/>
    <w:rsid w:val="00AC0D6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C0D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9159">
      <w:bodyDiv w:val="1"/>
      <w:marLeft w:val="0"/>
      <w:marRight w:val="0"/>
      <w:marTop w:val="0"/>
      <w:marBottom w:val="0"/>
      <w:divBdr>
        <w:top w:val="none" w:sz="0" w:space="0" w:color="auto"/>
        <w:left w:val="none" w:sz="0" w:space="0" w:color="auto"/>
        <w:bottom w:val="none" w:sz="0" w:space="0" w:color="auto"/>
        <w:right w:val="none" w:sz="0" w:space="0" w:color="auto"/>
      </w:divBdr>
    </w:div>
    <w:div w:id="87310162">
      <w:bodyDiv w:val="1"/>
      <w:marLeft w:val="0"/>
      <w:marRight w:val="0"/>
      <w:marTop w:val="0"/>
      <w:marBottom w:val="0"/>
      <w:divBdr>
        <w:top w:val="none" w:sz="0" w:space="0" w:color="auto"/>
        <w:left w:val="none" w:sz="0" w:space="0" w:color="auto"/>
        <w:bottom w:val="none" w:sz="0" w:space="0" w:color="auto"/>
        <w:right w:val="none" w:sz="0" w:space="0" w:color="auto"/>
      </w:divBdr>
    </w:div>
    <w:div w:id="125247742">
      <w:bodyDiv w:val="1"/>
      <w:marLeft w:val="0"/>
      <w:marRight w:val="0"/>
      <w:marTop w:val="0"/>
      <w:marBottom w:val="0"/>
      <w:divBdr>
        <w:top w:val="none" w:sz="0" w:space="0" w:color="auto"/>
        <w:left w:val="none" w:sz="0" w:space="0" w:color="auto"/>
        <w:bottom w:val="none" w:sz="0" w:space="0" w:color="auto"/>
        <w:right w:val="none" w:sz="0" w:space="0" w:color="auto"/>
      </w:divBdr>
    </w:div>
    <w:div w:id="273247740">
      <w:bodyDiv w:val="1"/>
      <w:marLeft w:val="0"/>
      <w:marRight w:val="0"/>
      <w:marTop w:val="0"/>
      <w:marBottom w:val="0"/>
      <w:divBdr>
        <w:top w:val="none" w:sz="0" w:space="0" w:color="auto"/>
        <w:left w:val="none" w:sz="0" w:space="0" w:color="auto"/>
        <w:bottom w:val="none" w:sz="0" w:space="0" w:color="auto"/>
        <w:right w:val="none" w:sz="0" w:space="0" w:color="auto"/>
      </w:divBdr>
    </w:div>
    <w:div w:id="363602960">
      <w:bodyDiv w:val="1"/>
      <w:marLeft w:val="0"/>
      <w:marRight w:val="0"/>
      <w:marTop w:val="0"/>
      <w:marBottom w:val="0"/>
      <w:divBdr>
        <w:top w:val="none" w:sz="0" w:space="0" w:color="auto"/>
        <w:left w:val="none" w:sz="0" w:space="0" w:color="auto"/>
        <w:bottom w:val="none" w:sz="0" w:space="0" w:color="auto"/>
        <w:right w:val="none" w:sz="0" w:space="0" w:color="auto"/>
      </w:divBdr>
    </w:div>
    <w:div w:id="439029331">
      <w:bodyDiv w:val="1"/>
      <w:marLeft w:val="0"/>
      <w:marRight w:val="0"/>
      <w:marTop w:val="0"/>
      <w:marBottom w:val="0"/>
      <w:divBdr>
        <w:top w:val="none" w:sz="0" w:space="0" w:color="auto"/>
        <w:left w:val="none" w:sz="0" w:space="0" w:color="auto"/>
        <w:bottom w:val="none" w:sz="0" w:space="0" w:color="auto"/>
        <w:right w:val="none" w:sz="0" w:space="0" w:color="auto"/>
      </w:divBdr>
    </w:div>
    <w:div w:id="563221659">
      <w:bodyDiv w:val="1"/>
      <w:marLeft w:val="0"/>
      <w:marRight w:val="0"/>
      <w:marTop w:val="0"/>
      <w:marBottom w:val="0"/>
      <w:divBdr>
        <w:top w:val="none" w:sz="0" w:space="0" w:color="auto"/>
        <w:left w:val="none" w:sz="0" w:space="0" w:color="auto"/>
        <w:bottom w:val="none" w:sz="0" w:space="0" w:color="auto"/>
        <w:right w:val="none" w:sz="0" w:space="0" w:color="auto"/>
      </w:divBdr>
    </w:div>
    <w:div w:id="613172315">
      <w:bodyDiv w:val="1"/>
      <w:marLeft w:val="0"/>
      <w:marRight w:val="0"/>
      <w:marTop w:val="0"/>
      <w:marBottom w:val="0"/>
      <w:divBdr>
        <w:top w:val="none" w:sz="0" w:space="0" w:color="auto"/>
        <w:left w:val="none" w:sz="0" w:space="0" w:color="auto"/>
        <w:bottom w:val="none" w:sz="0" w:space="0" w:color="auto"/>
        <w:right w:val="none" w:sz="0" w:space="0" w:color="auto"/>
      </w:divBdr>
    </w:div>
    <w:div w:id="737747040">
      <w:bodyDiv w:val="1"/>
      <w:marLeft w:val="0"/>
      <w:marRight w:val="0"/>
      <w:marTop w:val="0"/>
      <w:marBottom w:val="0"/>
      <w:divBdr>
        <w:top w:val="none" w:sz="0" w:space="0" w:color="auto"/>
        <w:left w:val="none" w:sz="0" w:space="0" w:color="auto"/>
        <w:bottom w:val="none" w:sz="0" w:space="0" w:color="auto"/>
        <w:right w:val="none" w:sz="0" w:space="0" w:color="auto"/>
      </w:divBdr>
    </w:div>
    <w:div w:id="752314383">
      <w:bodyDiv w:val="1"/>
      <w:marLeft w:val="0"/>
      <w:marRight w:val="0"/>
      <w:marTop w:val="0"/>
      <w:marBottom w:val="0"/>
      <w:divBdr>
        <w:top w:val="none" w:sz="0" w:space="0" w:color="auto"/>
        <w:left w:val="none" w:sz="0" w:space="0" w:color="auto"/>
        <w:bottom w:val="none" w:sz="0" w:space="0" w:color="auto"/>
        <w:right w:val="none" w:sz="0" w:space="0" w:color="auto"/>
      </w:divBdr>
    </w:div>
    <w:div w:id="818154479">
      <w:bodyDiv w:val="1"/>
      <w:marLeft w:val="0"/>
      <w:marRight w:val="0"/>
      <w:marTop w:val="0"/>
      <w:marBottom w:val="0"/>
      <w:divBdr>
        <w:top w:val="none" w:sz="0" w:space="0" w:color="auto"/>
        <w:left w:val="none" w:sz="0" w:space="0" w:color="auto"/>
        <w:bottom w:val="none" w:sz="0" w:space="0" w:color="auto"/>
        <w:right w:val="none" w:sz="0" w:space="0" w:color="auto"/>
      </w:divBdr>
    </w:div>
    <w:div w:id="863791415">
      <w:bodyDiv w:val="1"/>
      <w:marLeft w:val="0"/>
      <w:marRight w:val="0"/>
      <w:marTop w:val="0"/>
      <w:marBottom w:val="0"/>
      <w:divBdr>
        <w:top w:val="none" w:sz="0" w:space="0" w:color="auto"/>
        <w:left w:val="none" w:sz="0" w:space="0" w:color="auto"/>
        <w:bottom w:val="none" w:sz="0" w:space="0" w:color="auto"/>
        <w:right w:val="none" w:sz="0" w:space="0" w:color="auto"/>
      </w:divBdr>
    </w:div>
    <w:div w:id="987976251">
      <w:bodyDiv w:val="1"/>
      <w:marLeft w:val="0"/>
      <w:marRight w:val="0"/>
      <w:marTop w:val="0"/>
      <w:marBottom w:val="0"/>
      <w:divBdr>
        <w:top w:val="none" w:sz="0" w:space="0" w:color="auto"/>
        <w:left w:val="none" w:sz="0" w:space="0" w:color="auto"/>
        <w:bottom w:val="none" w:sz="0" w:space="0" w:color="auto"/>
        <w:right w:val="none" w:sz="0" w:space="0" w:color="auto"/>
      </w:divBdr>
    </w:div>
    <w:div w:id="996415713">
      <w:bodyDiv w:val="1"/>
      <w:marLeft w:val="0"/>
      <w:marRight w:val="0"/>
      <w:marTop w:val="0"/>
      <w:marBottom w:val="0"/>
      <w:divBdr>
        <w:top w:val="none" w:sz="0" w:space="0" w:color="auto"/>
        <w:left w:val="none" w:sz="0" w:space="0" w:color="auto"/>
        <w:bottom w:val="none" w:sz="0" w:space="0" w:color="auto"/>
        <w:right w:val="none" w:sz="0" w:space="0" w:color="auto"/>
      </w:divBdr>
      <w:divsChild>
        <w:div w:id="305666265">
          <w:marLeft w:val="0"/>
          <w:marRight w:val="0"/>
          <w:marTop w:val="0"/>
          <w:marBottom w:val="0"/>
          <w:divBdr>
            <w:top w:val="none" w:sz="0" w:space="0" w:color="auto"/>
            <w:left w:val="none" w:sz="0" w:space="0" w:color="auto"/>
            <w:bottom w:val="none" w:sz="0" w:space="0" w:color="auto"/>
            <w:right w:val="none" w:sz="0" w:space="0" w:color="auto"/>
          </w:divBdr>
          <w:divsChild>
            <w:div w:id="2078163963">
              <w:marLeft w:val="0"/>
              <w:marRight w:val="0"/>
              <w:marTop w:val="0"/>
              <w:marBottom w:val="0"/>
              <w:divBdr>
                <w:top w:val="none" w:sz="0" w:space="0" w:color="auto"/>
                <w:left w:val="none" w:sz="0" w:space="0" w:color="auto"/>
                <w:bottom w:val="none" w:sz="0" w:space="0" w:color="auto"/>
                <w:right w:val="none" w:sz="0" w:space="0" w:color="auto"/>
              </w:divBdr>
              <w:divsChild>
                <w:div w:id="363136063">
                  <w:marLeft w:val="-240"/>
                  <w:marRight w:val="-240"/>
                  <w:marTop w:val="0"/>
                  <w:marBottom w:val="0"/>
                  <w:divBdr>
                    <w:top w:val="none" w:sz="0" w:space="0" w:color="auto"/>
                    <w:left w:val="none" w:sz="0" w:space="0" w:color="auto"/>
                    <w:bottom w:val="none" w:sz="0" w:space="0" w:color="auto"/>
                    <w:right w:val="none" w:sz="0" w:space="0" w:color="auto"/>
                  </w:divBdr>
                  <w:divsChild>
                    <w:div w:id="461922885">
                      <w:marLeft w:val="0"/>
                      <w:marRight w:val="0"/>
                      <w:marTop w:val="0"/>
                      <w:marBottom w:val="0"/>
                      <w:divBdr>
                        <w:top w:val="none" w:sz="0" w:space="0" w:color="auto"/>
                        <w:left w:val="none" w:sz="0" w:space="0" w:color="auto"/>
                        <w:bottom w:val="none" w:sz="0" w:space="0" w:color="auto"/>
                        <w:right w:val="none" w:sz="0" w:space="0" w:color="auto"/>
                      </w:divBdr>
                      <w:divsChild>
                        <w:div w:id="2024042968">
                          <w:marLeft w:val="0"/>
                          <w:marRight w:val="0"/>
                          <w:marTop w:val="0"/>
                          <w:marBottom w:val="0"/>
                          <w:divBdr>
                            <w:top w:val="none" w:sz="0" w:space="0" w:color="auto"/>
                            <w:left w:val="none" w:sz="0" w:space="0" w:color="auto"/>
                            <w:bottom w:val="none" w:sz="0" w:space="0" w:color="auto"/>
                            <w:right w:val="none" w:sz="0" w:space="0" w:color="auto"/>
                          </w:divBdr>
                        </w:div>
                        <w:div w:id="1427194181">
                          <w:marLeft w:val="0"/>
                          <w:marRight w:val="0"/>
                          <w:marTop w:val="0"/>
                          <w:marBottom w:val="0"/>
                          <w:divBdr>
                            <w:top w:val="none" w:sz="0" w:space="0" w:color="auto"/>
                            <w:left w:val="none" w:sz="0" w:space="0" w:color="auto"/>
                            <w:bottom w:val="none" w:sz="0" w:space="0" w:color="auto"/>
                            <w:right w:val="none" w:sz="0" w:space="0" w:color="auto"/>
                          </w:divBdr>
                          <w:divsChild>
                            <w:div w:id="805439594">
                              <w:marLeft w:val="165"/>
                              <w:marRight w:val="165"/>
                              <w:marTop w:val="0"/>
                              <w:marBottom w:val="0"/>
                              <w:divBdr>
                                <w:top w:val="none" w:sz="0" w:space="0" w:color="auto"/>
                                <w:left w:val="none" w:sz="0" w:space="0" w:color="auto"/>
                                <w:bottom w:val="none" w:sz="0" w:space="0" w:color="auto"/>
                                <w:right w:val="none" w:sz="0" w:space="0" w:color="auto"/>
                              </w:divBdr>
                              <w:divsChild>
                                <w:div w:id="559825716">
                                  <w:marLeft w:val="0"/>
                                  <w:marRight w:val="0"/>
                                  <w:marTop w:val="0"/>
                                  <w:marBottom w:val="0"/>
                                  <w:divBdr>
                                    <w:top w:val="none" w:sz="0" w:space="0" w:color="auto"/>
                                    <w:left w:val="none" w:sz="0" w:space="0" w:color="auto"/>
                                    <w:bottom w:val="none" w:sz="0" w:space="0" w:color="auto"/>
                                    <w:right w:val="none" w:sz="0" w:space="0" w:color="auto"/>
                                  </w:divBdr>
                                  <w:divsChild>
                                    <w:div w:id="2337031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476154">
      <w:bodyDiv w:val="1"/>
      <w:marLeft w:val="0"/>
      <w:marRight w:val="0"/>
      <w:marTop w:val="0"/>
      <w:marBottom w:val="0"/>
      <w:divBdr>
        <w:top w:val="none" w:sz="0" w:space="0" w:color="auto"/>
        <w:left w:val="none" w:sz="0" w:space="0" w:color="auto"/>
        <w:bottom w:val="none" w:sz="0" w:space="0" w:color="auto"/>
        <w:right w:val="none" w:sz="0" w:space="0" w:color="auto"/>
      </w:divBdr>
    </w:div>
    <w:div w:id="1081564178">
      <w:bodyDiv w:val="1"/>
      <w:marLeft w:val="0"/>
      <w:marRight w:val="0"/>
      <w:marTop w:val="0"/>
      <w:marBottom w:val="0"/>
      <w:divBdr>
        <w:top w:val="none" w:sz="0" w:space="0" w:color="auto"/>
        <w:left w:val="none" w:sz="0" w:space="0" w:color="auto"/>
        <w:bottom w:val="none" w:sz="0" w:space="0" w:color="auto"/>
        <w:right w:val="none" w:sz="0" w:space="0" w:color="auto"/>
      </w:divBdr>
    </w:div>
    <w:div w:id="1210994152">
      <w:bodyDiv w:val="1"/>
      <w:marLeft w:val="0"/>
      <w:marRight w:val="0"/>
      <w:marTop w:val="0"/>
      <w:marBottom w:val="0"/>
      <w:divBdr>
        <w:top w:val="none" w:sz="0" w:space="0" w:color="auto"/>
        <w:left w:val="none" w:sz="0" w:space="0" w:color="auto"/>
        <w:bottom w:val="none" w:sz="0" w:space="0" w:color="auto"/>
        <w:right w:val="none" w:sz="0" w:space="0" w:color="auto"/>
      </w:divBdr>
    </w:div>
    <w:div w:id="1234663516">
      <w:bodyDiv w:val="1"/>
      <w:marLeft w:val="0"/>
      <w:marRight w:val="0"/>
      <w:marTop w:val="0"/>
      <w:marBottom w:val="0"/>
      <w:divBdr>
        <w:top w:val="none" w:sz="0" w:space="0" w:color="auto"/>
        <w:left w:val="none" w:sz="0" w:space="0" w:color="auto"/>
        <w:bottom w:val="none" w:sz="0" w:space="0" w:color="auto"/>
        <w:right w:val="none" w:sz="0" w:space="0" w:color="auto"/>
      </w:divBdr>
    </w:div>
    <w:div w:id="1289241843">
      <w:bodyDiv w:val="1"/>
      <w:marLeft w:val="0"/>
      <w:marRight w:val="0"/>
      <w:marTop w:val="0"/>
      <w:marBottom w:val="0"/>
      <w:divBdr>
        <w:top w:val="none" w:sz="0" w:space="0" w:color="auto"/>
        <w:left w:val="none" w:sz="0" w:space="0" w:color="auto"/>
        <w:bottom w:val="none" w:sz="0" w:space="0" w:color="auto"/>
        <w:right w:val="none" w:sz="0" w:space="0" w:color="auto"/>
      </w:divBdr>
    </w:div>
    <w:div w:id="1302270327">
      <w:bodyDiv w:val="1"/>
      <w:marLeft w:val="0"/>
      <w:marRight w:val="0"/>
      <w:marTop w:val="0"/>
      <w:marBottom w:val="0"/>
      <w:divBdr>
        <w:top w:val="none" w:sz="0" w:space="0" w:color="auto"/>
        <w:left w:val="none" w:sz="0" w:space="0" w:color="auto"/>
        <w:bottom w:val="none" w:sz="0" w:space="0" w:color="auto"/>
        <w:right w:val="none" w:sz="0" w:space="0" w:color="auto"/>
      </w:divBdr>
    </w:div>
    <w:div w:id="1459377439">
      <w:bodyDiv w:val="1"/>
      <w:marLeft w:val="0"/>
      <w:marRight w:val="0"/>
      <w:marTop w:val="0"/>
      <w:marBottom w:val="0"/>
      <w:divBdr>
        <w:top w:val="none" w:sz="0" w:space="0" w:color="auto"/>
        <w:left w:val="none" w:sz="0" w:space="0" w:color="auto"/>
        <w:bottom w:val="none" w:sz="0" w:space="0" w:color="auto"/>
        <w:right w:val="none" w:sz="0" w:space="0" w:color="auto"/>
      </w:divBdr>
    </w:div>
    <w:div w:id="1491483153">
      <w:bodyDiv w:val="1"/>
      <w:marLeft w:val="0"/>
      <w:marRight w:val="0"/>
      <w:marTop w:val="0"/>
      <w:marBottom w:val="0"/>
      <w:divBdr>
        <w:top w:val="none" w:sz="0" w:space="0" w:color="auto"/>
        <w:left w:val="none" w:sz="0" w:space="0" w:color="auto"/>
        <w:bottom w:val="none" w:sz="0" w:space="0" w:color="auto"/>
        <w:right w:val="none" w:sz="0" w:space="0" w:color="auto"/>
      </w:divBdr>
    </w:div>
    <w:div w:id="1511794517">
      <w:bodyDiv w:val="1"/>
      <w:marLeft w:val="0"/>
      <w:marRight w:val="0"/>
      <w:marTop w:val="0"/>
      <w:marBottom w:val="0"/>
      <w:divBdr>
        <w:top w:val="none" w:sz="0" w:space="0" w:color="auto"/>
        <w:left w:val="none" w:sz="0" w:space="0" w:color="auto"/>
        <w:bottom w:val="none" w:sz="0" w:space="0" w:color="auto"/>
        <w:right w:val="none" w:sz="0" w:space="0" w:color="auto"/>
      </w:divBdr>
    </w:div>
    <w:div w:id="1516462530">
      <w:bodyDiv w:val="1"/>
      <w:marLeft w:val="0"/>
      <w:marRight w:val="0"/>
      <w:marTop w:val="0"/>
      <w:marBottom w:val="0"/>
      <w:divBdr>
        <w:top w:val="none" w:sz="0" w:space="0" w:color="auto"/>
        <w:left w:val="none" w:sz="0" w:space="0" w:color="auto"/>
        <w:bottom w:val="none" w:sz="0" w:space="0" w:color="auto"/>
        <w:right w:val="none" w:sz="0" w:space="0" w:color="auto"/>
      </w:divBdr>
    </w:div>
    <w:div w:id="1534074577">
      <w:bodyDiv w:val="1"/>
      <w:marLeft w:val="0"/>
      <w:marRight w:val="0"/>
      <w:marTop w:val="0"/>
      <w:marBottom w:val="0"/>
      <w:divBdr>
        <w:top w:val="none" w:sz="0" w:space="0" w:color="auto"/>
        <w:left w:val="none" w:sz="0" w:space="0" w:color="auto"/>
        <w:bottom w:val="none" w:sz="0" w:space="0" w:color="auto"/>
        <w:right w:val="none" w:sz="0" w:space="0" w:color="auto"/>
      </w:divBdr>
    </w:div>
    <w:div w:id="1544095250">
      <w:bodyDiv w:val="1"/>
      <w:marLeft w:val="0"/>
      <w:marRight w:val="0"/>
      <w:marTop w:val="0"/>
      <w:marBottom w:val="0"/>
      <w:divBdr>
        <w:top w:val="none" w:sz="0" w:space="0" w:color="auto"/>
        <w:left w:val="none" w:sz="0" w:space="0" w:color="auto"/>
        <w:bottom w:val="none" w:sz="0" w:space="0" w:color="auto"/>
        <w:right w:val="none" w:sz="0" w:space="0" w:color="auto"/>
      </w:divBdr>
    </w:div>
    <w:div w:id="1567959797">
      <w:bodyDiv w:val="1"/>
      <w:marLeft w:val="0"/>
      <w:marRight w:val="0"/>
      <w:marTop w:val="0"/>
      <w:marBottom w:val="0"/>
      <w:divBdr>
        <w:top w:val="none" w:sz="0" w:space="0" w:color="auto"/>
        <w:left w:val="none" w:sz="0" w:space="0" w:color="auto"/>
        <w:bottom w:val="none" w:sz="0" w:space="0" w:color="auto"/>
        <w:right w:val="none" w:sz="0" w:space="0" w:color="auto"/>
      </w:divBdr>
    </w:div>
    <w:div w:id="1678729462">
      <w:bodyDiv w:val="1"/>
      <w:marLeft w:val="0"/>
      <w:marRight w:val="0"/>
      <w:marTop w:val="0"/>
      <w:marBottom w:val="0"/>
      <w:divBdr>
        <w:top w:val="none" w:sz="0" w:space="0" w:color="auto"/>
        <w:left w:val="none" w:sz="0" w:space="0" w:color="auto"/>
        <w:bottom w:val="none" w:sz="0" w:space="0" w:color="auto"/>
        <w:right w:val="none" w:sz="0" w:space="0" w:color="auto"/>
      </w:divBdr>
    </w:div>
    <w:div w:id="1867600604">
      <w:bodyDiv w:val="1"/>
      <w:marLeft w:val="0"/>
      <w:marRight w:val="0"/>
      <w:marTop w:val="0"/>
      <w:marBottom w:val="0"/>
      <w:divBdr>
        <w:top w:val="none" w:sz="0" w:space="0" w:color="auto"/>
        <w:left w:val="none" w:sz="0" w:space="0" w:color="auto"/>
        <w:bottom w:val="none" w:sz="0" w:space="0" w:color="auto"/>
        <w:right w:val="none" w:sz="0" w:space="0" w:color="auto"/>
      </w:divBdr>
    </w:div>
    <w:div w:id="1898514407">
      <w:bodyDiv w:val="1"/>
      <w:marLeft w:val="0"/>
      <w:marRight w:val="0"/>
      <w:marTop w:val="0"/>
      <w:marBottom w:val="0"/>
      <w:divBdr>
        <w:top w:val="none" w:sz="0" w:space="0" w:color="auto"/>
        <w:left w:val="none" w:sz="0" w:space="0" w:color="auto"/>
        <w:bottom w:val="none" w:sz="0" w:space="0" w:color="auto"/>
        <w:right w:val="none" w:sz="0" w:space="0" w:color="auto"/>
      </w:divBdr>
    </w:div>
    <w:div w:id="1927570346">
      <w:bodyDiv w:val="1"/>
      <w:marLeft w:val="0"/>
      <w:marRight w:val="0"/>
      <w:marTop w:val="0"/>
      <w:marBottom w:val="0"/>
      <w:divBdr>
        <w:top w:val="none" w:sz="0" w:space="0" w:color="auto"/>
        <w:left w:val="none" w:sz="0" w:space="0" w:color="auto"/>
        <w:bottom w:val="none" w:sz="0" w:space="0" w:color="auto"/>
        <w:right w:val="none" w:sz="0" w:space="0" w:color="auto"/>
      </w:divBdr>
    </w:div>
    <w:div w:id="1943830139">
      <w:bodyDiv w:val="1"/>
      <w:marLeft w:val="0"/>
      <w:marRight w:val="0"/>
      <w:marTop w:val="0"/>
      <w:marBottom w:val="0"/>
      <w:divBdr>
        <w:top w:val="none" w:sz="0" w:space="0" w:color="auto"/>
        <w:left w:val="none" w:sz="0" w:space="0" w:color="auto"/>
        <w:bottom w:val="none" w:sz="0" w:space="0" w:color="auto"/>
        <w:right w:val="none" w:sz="0" w:space="0" w:color="auto"/>
      </w:divBdr>
    </w:div>
    <w:div w:id="1950816602">
      <w:bodyDiv w:val="1"/>
      <w:marLeft w:val="0"/>
      <w:marRight w:val="0"/>
      <w:marTop w:val="0"/>
      <w:marBottom w:val="0"/>
      <w:divBdr>
        <w:top w:val="none" w:sz="0" w:space="0" w:color="auto"/>
        <w:left w:val="none" w:sz="0" w:space="0" w:color="auto"/>
        <w:bottom w:val="none" w:sz="0" w:space="0" w:color="auto"/>
        <w:right w:val="none" w:sz="0" w:space="0" w:color="auto"/>
      </w:divBdr>
    </w:div>
    <w:div w:id="199198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lv/starptautiskie-ligumi/id/1665" TargetMode="External"/><Relationship Id="rId2" Type="http://schemas.openxmlformats.org/officeDocument/2006/relationships/hyperlink" Target="https://likumi.lv/ta/id/287760-publisko-iepirkumu-likums?version_date=01.01.2019" TargetMode="External"/><Relationship Id="rId1" Type="http://schemas.openxmlformats.org/officeDocument/2006/relationships/hyperlink" Target="https://likumi.lv/ta/id/319726" TargetMode="External"/><Relationship Id="rId5" Type="http://schemas.openxmlformats.org/officeDocument/2006/relationships/hyperlink" Target="https://www.consilium.europa.eu/en/policies/cotonou-agreement/" TargetMode="External"/><Relationship Id="rId4" Type="http://schemas.openxmlformats.org/officeDocument/2006/relationships/hyperlink" Target="https://likumi.lv/ta/lv/starptautiskie-ligumi/id/1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E6039-063B-4069-903F-930DB52C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967</Words>
  <Characters>552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Virtmane</dc:creator>
  <cp:keywords/>
  <dc:description/>
  <cp:lastModifiedBy>Samanta Krieva</cp:lastModifiedBy>
  <cp:revision>2</cp:revision>
  <dcterms:created xsi:type="dcterms:W3CDTF">2021-03-10T09:54:00Z</dcterms:created>
  <dcterms:modified xsi:type="dcterms:W3CDTF">2021-03-10T09:54:00Z</dcterms:modified>
</cp:coreProperties>
</file>