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2E31ED2D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B451CD">
        <w:rPr>
          <w:b/>
          <w:i/>
        </w:rPr>
        <w:t>Infografikas un pārskati</w:t>
      </w:r>
      <w:r w:rsidR="003C6A4D">
        <w:rPr>
          <w:b/>
          <w:i/>
        </w:rPr>
        <w:t xml:space="preserve">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="000024EE">
          <w:rPr>
            <w:rStyle w:val="Hipersaite"/>
          </w:rPr>
          <w:t>Statistikas datu publicēšanas kalendārs 2026.gadam</w:t>
        </w:r>
      </w:hyperlink>
      <w:r w:rsidR="000024EE">
        <w:t xml:space="preserve"> </w:t>
      </w:r>
      <w:r w:rsidRPr="00BC2761">
        <w:t xml:space="preserve">reizi </w:t>
      </w:r>
      <w:r>
        <w:t>ceturksnī.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AC2A5A" w14:paraId="33481E37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3B4EC588" w14:textId="670A9F63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7FCD130" w14:textId="7F51FC12" w:rsidR="00AC2A5A" w:rsidRDefault="00AC2A5A" w:rsidP="00AC2A5A">
            <w:pPr>
              <w:jc w:val="center"/>
            </w:pPr>
            <w:r>
              <w:t>par 202</w:t>
            </w:r>
            <w:r w:rsidR="00F8574B">
              <w:t>6</w:t>
            </w:r>
            <w:r>
              <w:t xml:space="preserve">. gada </w:t>
            </w:r>
            <w:r w:rsidR="00F8574B">
              <w:t>1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1F942F8" w14:textId="77777777" w:rsidR="00AC2A5A" w:rsidRDefault="00AC2A5A" w:rsidP="00AC2A5A">
            <w:pPr>
              <w:jc w:val="center"/>
            </w:pPr>
          </w:p>
          <w:p w14:paraId="18F21607" w14:textId="36594979" w:rsidR="00AC2A5A" w:rsidRDefault="00F8574B" w:rsidP="00AC2A5A">
            <w:pPr>
              <w:jc w:val="center"/>
            </w:pPr>
            <w:r>
              <w:t>05.06</w:t>
            </w:r>
            <w:r w:rsidR="00CA2560">
              <w:t>.2026</w:t>
            </w:r>
            <w:r w:rsidR="00AC2A5A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A43BA20" w14:textId="77777777" w:rsidR="00AC2A5A" w:rsidRDefault="00AC2A5A" w:rsidP="00AC2A5A">
            <w:pPr>
              <w:jc w:val="center"/>
            </w:pPr>
          </w:p>
        </w:tc>
      </w:tr>
      <w:tr w:rsidR="00AC2A5A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3DF64EB3" w14:textId="2D360078" w:rsidR="00F8574B" w:rsidRDefault="00F8574B" w:rsidP="00AC2A5A">
            <w:pPr>
              <w:jc w:val="center"/>
            </w:pPr>
            <w:r>
              <w:t>par 2025. gada 4. ceturksni</w:t>
            </w:r>
          </w:p>
          <w:p w14:paraId="05C4EE66" w14:textId="10483A6E" w:rsidR="00CA2560" w:rsidRDefault="00CA2560" w:rsidP="00AC2A5A">
            <w:pPr>
              <w:jc w:val="center"/>
            </w:pPr>
            <w:r>
              <w:t>par 2025. gada 3. ceturksni</w:t>
            </w:r>
          </w:p>
          <w:p w14:paraId="37C5D963" w14:textId="065BAB3D" w:rsidR="00AC2A5A" w:rsidRDefault="00AC2A5A" w:rsidP="00AC2A5A">
            <w:pPr>
              <w:jc w:val="center"/>
            </w:pPr>
            <w:r>
              <w:t>par 2025. gada 1. ceturksni</w:t>
            </w:r>
          </w:p>
          <w:p w14:paraId="6A7034EF" w14:textId="3C316F86" w:rsidR="007121DA" w:rsidRDefault="007121DA" w:rsidP="00AC2A5A">
            <w:pPr>
              <w:jc w:val="center"/>
            </w:pPr>
            <w:r>
              <w:t>par 2025. gada 2.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AC2A5A" w:rsidRDefault="00AC2A5A" w:rsidP="00AC2A5A">
            <w:pPr>
              <w:jc w:val="center"/>
            </w:pPr>
          </w:p>
          <w:p w14:paraId="6DAB9EC5" w14:textId="3C229B39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890BAD7" w14:textId="77777777" w:rsidR="00AC2A5A" w:rsidRDefault="00AC2A5A" w:rsidP="00AC2A5A">
            <w:pPr>
              <w:jc w:val="center"/>
            </w:pPr>
          </w:p>
          <w:p w14:paraId="6BF6E59F" w14:textId="035C9543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B2007D8" w14:textId="26D9D84A" w:rsidR="00AC2A5A" w:rsidRDefault="00AC2A5A" w:rsidP="00AC2A5A">
            <w:pPr>
              <w:jc w:val="center"/>
            </w:pPr>
            <w:r>
              <w:t>par 2024. gada 4. ceturksni</w:t>
            </w:r>
          </w:p>
          <w:p w14:paraId="20D22FCA" w14:textId="41ADFF18" w:rsidR="00AC2A5A" w:rsidRDefault="00AC2A5A" w:rsidP="00AC2A5A">
            <w:pPr>
              <w:jc w:val="center"/>
            </w:pPr>
            <w:r>
              <w:t>par 2024. gada 3. ceturksni</w:t>
            </w:r>
          </w:p>
          <w:p w14:paraId="36288601" w14:textId="08F7ADC6" w:rsidR="00AC2A5A" w:rsidRDefault="00AC2A5A" w:rsidP="00AC2A5A">
            <w:pPr>
              <w:jc w:val="center"/>
            </w:pPr>
            <w:r>
              <w:t>par 2024. gada 2. ceturksni</w:t>
            </w:r>
          </w:p>
          <w:p w14:paraId="32577317" w14:textId="60E05DA8" w:rsidR="00AC2A5A" w:rsidRDefault="00AC2A5A" w:rsidP="00AC2A5A">
            <w:pPr>
              <w:jc w:val="center"/>
            </w:pPr>
            <w:r>
              <w:t>par 2024.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AC2A5A" w:rsidRDefault="00AC2A5A" w:rsidP="00AC2A5A">
            <w:pPr>
              <w:jc w:val="center"/>
            </w:pPr>
          </w:p>
          <w:p w14:paraId="3AA24755" w14:textId="56C69CFB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AC2A5A" w:rsidRDefault="00AC2A5A" w:rsidP="00AC2A5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AC2A5A" w:rsidRDefault="00AC2A5A" w:rsidP="00AC2A5A">
            <w:pPr>
              <w:jc w:val="center"/>
            </w:pPr>
            <w:r>
              <w:t>par 2023. gada 3. ceturksni</w:t>
            </w:r>
          </w:p>
          <w:p w14:paraId="61AA0FA4" w14:textId="34A1C5E3" w:rsidR="00AC2A5A" w:rsidRDefault="00AC2A5A" w:rsidP="00AC2A5A">
            <w:pPr>
              <w:jc w:val="center"/>
            </w:pPr>
            <w:r>
              <w:t>par 2023. gada 2. ceturksni</w:t>
            </w:r>
          </w:p>
          <w:p w14:paraId="66F89541" w14:textId="6E88A664" w:rsidR="00AC2A5A" w:rsidRDefault="00AC2A5A" w:rsidP="00AC2A5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AC2A5A" w:rsidRDefault="00AC2A5A" w:rsidP="00AC2A5A">
            <w:pPr>
              <w:jc w:val="center"/>
            </w:pPr>
          </w:p>
          <w:p w14:paraId="6982BD05" w14:textId="5FB6EEFB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AC2A5A" w:rsidRDefault="00AC2A5A" w:rsidP="00AC2A5A">
            <w:pPr>
              <w:jc w:val="center"/>
            </w:pPr>
          </w:p>
          <w:p w14:paraId="579A63EC" w14:textId="77014A7E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AC2A5A" w:rsidRDefault="00AC2A5A" w:rsidP="00AC2A5A">
            <w:pPr>
              <w:jc w:val="center"/>
            </w:pPr>
            <w:r>
              <w:t>par 2022. gada 4. ceturksni</w:t>
            </w:r>
          </w:p>
          <w:p w14:paraId="6213CE75" w14:textId="0901D97C" w:rsidR="00AC2A5A" w:rsidRDefault="00AC2A5A" w:rsidP="00AC2A5A">
            <w:pPr>
              <w:jc w:val="center"/>
            </w:pPr>
            <w:r>
              <w:t>par 2022. gada 3. ceturksni</w:t>
            </w:r>
          </w:p>
          <w:p w14:paraId="0964E30B" w14:textId="60882582" w:rsidR="00AC2A5A" w:rsidRDefault="00AC2A5A" w:rsidP="00AC2A5A">
            <w:pPr>
              <w:jc w:val="center"/>
            </w:pPr>
            <w:r>
              <w:t>par 2022. gada 2. ceturksni</w:t>
            </w:r>
          </w:p>
          <w:p w14:paraId="6D1493E6" w14:textId="628686DA" w:rsidR="00AC2A5A" w:rsidRDefault="00AC2A5A" w:rsidP="00AC2A5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AC2A5A" w:rsidRDefault="00AC2A5A" w:rsidP="00AC2A5A">
            <w:pPr>
              <w:jc w:val="center"/>
            </w:pPr>
            <w:r>
              <w:t>par 2021. gada 4. ceturksni</w:t>
            </w:r>
          </w:p>
          <w:p w14:paraId="50706AAD" w14:textId="71672EBF" w:rsidR="00AC2A5A" w:rsidRDefault="00AC2A5A" w:rsidP="00AC2A5A">
            <w:pPr>
              <w:jc w:val="center"/>
            </w:pPr>
            <w:r>
              <w:t>par 2021. gada 3. ceturksni</w:t>
            </w:r>
          </w:p>
          <w:p w14:paraId="4EED4165" w14:textId="1B380DA6" w:rsidR="00AC2A5A" w:rsidRDefault="00AC2A5A" w:rsidP="00AC2A5A">
            <w:pPr>
              <w:jc w:val="center"/>
            </w:pPr>
            <w:r>
              <w:t>par 2021. gada 2. ceturksni</w:t>
            </w:r>
          </w:p>
          <w:p w14:paraId="443021CF" w14:textId="2D812821" w:rsidR="00AC2A5A" w:rsidRDefault="00AC2A5A" w:rsidP="00AC2A5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AC2A5A" w:rsidRDefault="00AC2A5A" w:rsidP="00AC2A5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AC2A5A" w:rsidRDefault="00AC2A5A" w:rsidP="00AC2A5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AC2A5A" w:rsidRPr="00561FB5" w:rsidRDefault="00AC2A5A" w:rsidP="00AC2A5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AC2A5A" w:rsidRPr="00561FB5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AC2A5A" w:rsidRDefault="00AC2A5A" w:rsidP="00AC2A5A">
            <w:pPr>
              <w:jc w:val="center"/>
            </w:pPr>
          </w:p>
        </w:tc>
      </w:tr>
      <w:tr w:rsidR="00AC2A5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AC2A5A" w:rsidRDefault="00AC2A5A" w:rsidP="00AC2A5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1D66D46C" w14:textId="78A11BBC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AC2A5A" w:rsidRDefault="00AC2A5A" w:rsidP="00AC2A5A">
            <w:pPr>
              <w:jc w:val="center"/>
            </w:pPr>
          </w:p>
        </w:tc>
      </w:tr>
      <w:tr w:rsidR="00AC2A5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AC2A5A" w:rsidRDefault="00AC2A5A" w:rsidP="00AC2A5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AC2A5A" w:rsidRDefault="00AC2A5A" w:rsidP="00AC2A5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bottom"/>
          </w:tcPr>
          <w:p w14:paraId="58A06AE8" w14:textId="60B6FE81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AC2A5A" w:rsidRDefault="00AC2A5A" w:rsidP="00AC2A5A">
            <w:pPr>
              <w:jc w:val="center"/>
            </w:pPr>
          </w:p>
        </w:tc>
      </w:tr>
      <w:tr w:rsidR="00AC2A5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AC2A5A" w:rsidRDefault="00AC2A5A" w:rsidP="00AC2A5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AC2A5A" w:rsidRDefault="00AC2A5A" w:rsidP="00AC2A5A">
            <w:pPr>
              <w:jc w:val="both"/>
            </w:pPr>
            <w:r>
              <w:t>Sk. arhīvu</w:t>
            </w:r>
          </w:p>
          <w:p w14:paraId="689F9C38" w14:textId="6DC84067" w:rsidR="00AC2A5A" w:rsidRDefault="00AC2A5A" w:rsidP="00AC2A5A">
            <w:pPr>
              <w:jc w:val="both"/>
            </w:pPr>
          </w:p>
        </w:tc>
      </w:tr>
      <w:tr w:rsidR="00AC2A5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AC2A5A" w:rsidRDefault="00AC2A5A" w:rsidP="00AC2A5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AC2A5A" w:rsidRDefault="00AC2A5A" w:rsidP="00AC2A5A">
            <w:pPr>
              <w:jc w:val="both"/>
            </w:pPr>
          </w:p>
        </w:tc>
      </w:tr>
      <w:tr w:rsidR="00AC2A5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AC2A5A" w:rsidRDefault="00AC2A5A" w:rsidP="00AC2A5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AC2A5A" w:rsidRDefault="00AC2A5A" w:rsidP="00AC2A5A">
            <w:pPr>
              <w:jc w:val="both"/>
            </w:pPr>
          </w:p>
        </w:tc>
      </w:tr>
      <w:tr w:rsidR="00AC2A5A" w14:paraId="77E84A0D" w14:textId="77777777" w:rsidTr="00661F28">
        <w:tc>
          <w:tcPr>
            <w:tcW w:w="3457" w:type="dxa"/>
            <w:vMerge/>
          </w:tcPr>
          <w:p w14:paraId="06AF2064" w14:textId="77777777" w:rsidR="00AC2A5A" w:rsidRDefault="00AC2A5A" w:rsidP="00AC2A5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AC2A5A" w:rsidRDefault="00AC2A5A" w:rsidP="00AC2A5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AC2A5A" w:rsidRDefault="00AC2A5A" w:rsidP="00AC2A5A">
            <w:pPr>
              <w:jc w:val="both"/>
            </w:pPr>
          </w:p>
        </w:tc>
      </w:tr>
      <w:tr w:rsidR="00AC2A5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AC2A5A" w:rsidRDefault="00AC2A5A" w:rsidP="00AC2A5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AC2A5A" w:rsidRDefault="00AC2A5A" w:rsidP="00AC2A5A">
            <w:pPr>
              <w:jc w:val="both"/>
            </w:pPr>
            <w:r>
              <w:t>Sk. arhīvu</w:t>
            </w:r>
          </w:p>
          <w:p w14:paraId="69A3D250" w14:textId="054972DD" w:rsidR="00AC2A5A" w:rsidRDefault="00AC2A5A" w:rsidP="00AC2A5A">
            <w:pPr>
              <w:jc w:val="both"/>
            </w:pPr>
          </w:p>
        </w:tc>
      </w:tr>
      <w:tr w:rsidR="00AC2A5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AC2A5A" w:rsidRDefault="00AC2A5A" w:rsidP="00AC2A5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AC2A5A" w:rsidRDefault="00AC2A5A" w:rsidP="00AC2A5A">
            <w:pPr>
              <w:jc w:val="both"/>
            </w:pPr>
          </w:p>
        </w:tc>
      </w:tr>
      <w:tr w:rsidR="00AC2A5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AC2A5A" w:rsidRDefault="00AC2A5A" w:rsidP="00AC2A5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AC2A5A" w:rsidRDefault="00AC2A5A" w:rsidP="00AC2A5A">
            <w:pPr>
              <w:jc w:val="both"/>
            </w:pPr>
          </w:p>
        </w:tc>
      </w:tr>
      <w:tr w:rsidR="00AC2A5A" w14:paraId="53310BF6" w14:textId="77777777" w:rsidTr="00661F28">
        <w:tc>
          <w:tcPr>
            <w:tcW w:w="3457" w:type="dxa"/>
            <w:vMerge/>
          </w:tcPr>
          <w:p w14:paraId="07649E4B" w14:textId="77777777" w:rsidR="00AC2A5A" w:rsidRDefault="00AC2A5A" w:rsidP="00AC2A5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AC2A5A" w:rsidRDefault="00AC2A5A" w:rsidP="00AC2A5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AC2A5A" w:rsidRDefault="00AC2A5A" w:rsidP="00AC2A5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5BEE4D48" w:rsidR="00C447A8" w:rsidRPr="00C447A8" w:rsidRDefault="00F8574B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05.06</w:t>
      </w:r>
      <w:r w:rsidR="00CA2560">
        <w:rPr>
          <w:bCs/>
          <w:sz w:val="24"/>
          <w:szCs w:val="24"/>
        </w:rPr>
        <w:t>.2026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7E6A77" w:rsidRDefault="00B52304" w:rsidP="00B52304">
      <w:pPr>
        <w:jc w:val="both"/>
        <w:rPr>
          <w:rFonts w:cstheme="minorHAnsi"/>
        </w:rPr>
      </w:pPr>
      <w:r w:rsidRPr="007E6A77">
        <w:rPr>
          <w:rFonts w:cstheme="minorHAnsi"/>
        </w:rPr>
        <w:t>Atskaites periods ir kalendārais</w:t>
      </w:r>
      <w:r w:rsidR="003D365A" w:rsidRPr="007E6A77">
        <w:rPr>
          <w:rFonts w:cstheme="minorHAnsi"/>
        </w:rPr>
        <w:t xml:space="preserve"> ceturksnis</w:t>
      </w:r>
      <w:r w:rsidRPr="007E6A77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lastRenderedPageBreak/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</w:tcPr>
          <w:p w14:paraId="75E4D176" w14:textId="299F4584" w:rsidR="00B52304" w:rsidRDefault="00B52304" w:rsidP="009D0756">
            <w:pPr>
              <w:jc w:val="both"/>
            </w:pPr>
            <w:r>
              <w:t>pasts</w:t>
            </w:r>
            <w:r w:rsidR="00E61F51">
              <w:t>@</w:t>
            </w:r>
            <w:r>
              <w:t>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</w:tcPr>
          <w:p w14:paraId="2A82098A" w14:textId="3AC99ADA" w:rsidR="00B52304" w:rsidRPr="00C26E9C" w:rsidRDefault="00BF69EE" w:rsidP="009D0756">
            <w:pPr>
              <w:jc w:val="both"/>
            </w:pPr>
            <w:r>
              <w:t>245566</w:t>
            </w:r>
            <w:r w:rsidR="007F018A">
              <w:t>29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326CF5EC" w:rsidR="00B52304" w:rsidRPr="00C64F90" w:rsidRDefault="005E7745" w:rsidP="00B52304">
      <w:pPr>
        <w:jc w:val="both"/>
      </w:pPr>
      <w:r>
        <w:t>05.06</w:t>
      </w:r>
      <w:r w:rsidR="00E61F51">
        <w:t>.2026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024EE"/>
    <w:rsid w:val="00012D63"/>
    <w:rsid w:val="000B0104"/>
    <w:rsid w:val="000C05A9"/>
    <w:rsid w:val="000D3152"/>
    <w:rsid w:val="000E26A1"/>
    <w:rsid w:val="0014309C"/>
    <w:rsid w:val="00145BE0"/>
    <w:rsid w:val="00185810"/>
    <w:rsid w:val="00186281"/>
    <w:rsid w:val="001B1B34"/>
    <w:rsid w:val="001C6A18"/>
    <w:rsid w:val="002467A4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2CB1"/>
    <w:rsid w:val="003D365A"/>
    <w:rsid w:val="004154EF"/>
    <w:rsid w:val="00436757"/>
    <w:rsid w:val="00465044"/>
    <w:rsid w:val="004C0B55"/>
    <w:rsid w:val="004D2A83"/>
    <w:rsid w:val="00532B1B"/>
    <w:rsid w:val="00561FB5"/>
    <w:rsid w:val="00566C93"/>
    <w:rsid w:val="005D433F"/>
    <w:rsid w:val="005E176E"/>
    <w:rsid w:val="005E7745"/>
    <w:rsid w:val="006027FD"/>
    <w:rsid w:val="00612755"/>
    <w:rsid w:val="00651A2B"/>
    <w:rsid w:val="00661F28"/>
    <w:rsid w:val="00681069"/>
    <w:rsid w:val="00682A57"/>
    <w:rsid w:val="006A353F"/>
    <w:rsid w:val="006C0CAE"/>
    <w:rsid w:val="006F1634"/>
    <w:rsid w:val="006F4813"/>
    <w:rsid w:val="006F7DBB"/>
    <w:rsid w:val="00703D7C"/>
    <w:rsid w:val="007121DA"/>
    <w:rsid w:val="00714DAA"/>
    <w:rsid w:val="007601D5"/>
    <w:rsid w:val="007855E7"/>
    <w:rsid w:val="007A3D12"/>
    <w:rsid w:val="007D56D0"/>
    <w:rsid w:val="007D696F"/>
    <w:rsid w:val="007E61CF"/>
    <w:rsid w:val="007E6A77"/>
    <w:rsid w:val="007F018A"/>
    <w:rsid w:val="007F5363"/>
    <w:rsid w:val="00802831"/>
    <w:rsid w:val="008131DA"/>
    <w:rsid w:val="00817102"/>
    <w:rsid w:val="008B11EF"/>
    <w:rsid w:val="0091377F"/>
    <w:rsid w:val="00965B29"/>
    <w:rsid w:val="00976DBC"/>
    <w:rsid w:val="00A96740"/>
    <w:rsid w:val="00AC2A5A"/>
    <w:rsid w:val="00AF793E"/>
    <w:rsid w:val="00B451CD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A2560"/>
    <w:rsid w:val="00CC13B4"/>
    <w:rsid w:val="00CC5673"/>
    <w:rsid w:val="00CC5BBD"/>
    <w:rsid w:val="00DA291F"/>
    <w:rsid w:val="00E03C77"/>
    <w:rsid w:val="00E61F51"/>
    <w:rsid w:val="00EF19B2"/>
    <w:rsid w:val="00F36364"/>
    <w:rsid w:val="00F65238"/>
    <w:rsid w:val="00F71AEB"/>
    <w:rsid w:val="00F8574B"/>
    <w:rsid w:val="00FA67B3"/>
    <w:rsid w:val="00FD6308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30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230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05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05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05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05A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6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06457-2BA8-491B-BD03-5524EDD7C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2851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Sanda Anševica</cp:lastModifiedBy>
  <cp:revision>8</cp:revision>
  <dcterms:created xsi:type="dcterms:W3CDTF">2026-03-05T07:04:00Z</dcterms:created>
  <dcterms:modified xsi:type="dcterms:W3CDTF">2026-06-04T09:18:00Z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